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89" w:rsidRDefault="00CE5E89" w:rsidP="00CE5E89">
      <w:r>
        <w:rPr>
          <w:noProof/>
          <w:lang w:eastAsia="it-IT"/>
        </w:rPr>
        <w:drawing>
          <wp:inline distT="0" distB="0" distL="0" distR="0" wp14:anchorId="66974B41" wp14:editId="552EE091">
            <wp:extent cx="6019800" cy="1238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0" cy="1238250"/>
                    </a:xfrm>
                    <a:prstGeom prst="rect">
                      <a:avLst/>
                    </a:prstGeom>
                    <a:noFill/>
                    <a:ln>
                      <a:noFill/>
                    </a:ln>
                  </pic:spPr>
                </pic:pic>
              </a:graphicData>
            </a:graphic>
          </wp:inline>
        </w:drawing>
      </w:r>
    </w:p>
    <w:p w:rsidR="00CE5E89" w:rsidRPr="001F3CD4" w:rsidRDefault="00CE5E89" w:rsidP="00CE5E89">
      <w:pPr>
        <w:pStyle w:val="NormaleWeb"/>
        <w:spacing w:before="0" w:after="0" w:line="360" w:lineRule="auto"/>
        <w:jc w:val="center"/>
        <w:rPr>
          <w:rFonts w:ascii="Arial" w:hAnsi="Arial" w:cs="Arial"/>
          <w:b/>
          <w:i/>
          <w:color w:val="000000"/>
          <w:w w:val="79"/>
          <w:sz w:val="22"/>
          <w:szCs w:val="22"/>
        </w:rPr>
      </w:pPr>
      <w:r w:rsidRPr="001F3CD4">
        <w:rPr>
          <w:rFonts w:ascii="Arial" w:hAnsi="Arial" w:cs="Arial"/>
          <w:b/>
          <w:i/>
          <w:color w:val="000000"/>
          <w:w w:val="79"/>
          <w:sz w:val="22"/>
          <w:szCs w:val="22"/>
        </w:rPr>
        <w:t>Con l’Europa Investiamo nel vostro futuro</w:t>
      </w:r>
    </w:p>
    <w:p w:rsidR="00CE5E89" w:rsidRPr="001F3CD4" w:rsidRDefault="00CE5E89" w:rsidP="00CE5E89">
      <w:pPr>
        <w:jc w:val="center"/>
        <w:rPr>
          <w:rFonts w:ascii="Arial" w:hAnsi="Arial" w:cs="Arial"/>
          <w:b/>
          <w:i/>
          <w:color w:val="000000"/>
          <w:w w:val="79"/>
          <w:sz w:val="22"/>
          <w:szCs w:val="22"/>
        </w:rPr>
      </w:pPr>
      <w:r w:rsidRPr="001F3CD4">
        <w:rPr>
          <w:rFonts w:ascii="Arial" w:hAnsi="Arial" w:cs="Arial"/>
          <w:b/>
          <w:color w:val="000000"/>
          <w:w w:val="79"/>
          <w:sz w:val="22"/>
          <w:szCs w:val="22"/>
        </w:rPr>
        <w:t>ASSE II “</w:t>
      </w:r>
      <w:r w:rsidRPr="001F3CD4">
        <w:rPr>
          <w:rFonts w:ascii="Arial" w:hAnsi="Arial" w:cs="Arial"/>
          <w:b/>
          <w:i/>
          <w:color w:val="000000"/>
          <w:w w:val="79"/>
          <w:sz w:val="22"/>
          <w:szCs w:val="22"/>
        </w:rPr>
        <w:t>Qualità degli ambienti scolastici”</w:t>
      </w:r>
    </w:p>
    <w:p w:rsidR="00CE5E89" w:rsidRPr="001F3CD4" w:rsidRDefault="00CE5E89" w:rsidP="00CE5E89">
      <w:pPr>
        <w:jc w:val="center"/>
        <w:rPr>
          <w:rFonts w:ascii="Arial" w:hAnsi="Arial" w:cs="Arial"/>
          <w:i/>
          <w:color w:val="000000"/>
          <w:w w:val="79"/>
          <w:sz w:val="22"/>
          <w:szCs w:val="22"/>
        </w:rPr>
      </w:pPr>
      <w:r w:rsidRPr="001F3CD4">
        <w:rPr>
          <w:rFonts w:ascii="Arial" w:hAnsi="Arial" w:cs="Arial"/>
          <w:b/>
          <w:color w:val="000000"/>
          <w:w w:val="79"/>
          <w:sz w:val="22"/>
          <w:szCs w:val="22"/>
        </w:rPr>
        <w:t xml:space="preserve">             Obiettivo C</w:t>
      </w:r>
      <w:r w:rsidRPr="001F3CD4">
        <w:rPr>
          <w:rFonts w:ascii="Arial" w:hAnsi="Arial" w:cs="Arial"/>
          <w:i/>
          <w:color w:val="000000"/>
          <w:w w:val="79"/>
          <w:sz w:val="22"/>
          <w:szCs w:val="22"/>
        </w:rPr>
        <w:t xml:space="preserve"> – </w:t>
      </w:r>
      <w:proofErr w:type="gramStart"/>
      <w:r w:rsidRPr="001F3CD4">
        <w:rPr>
          <w:rFonts w:ascii="Arial" w:hAnsi="Arial" w:cs="Arial"/>
          <w:i/>
          <w:color w:val="000000"/>
          <w:w w:val="79"/>
          <w:sz w:val="22"/>
          <w:szCs w:val="22"/>
        </w:rPr>
        <w:t>“ Incrementare</w:t>
      </w:r>
      <w:proofErr w:type="gramEnd"/>
      <w:r w:rsidRPr="001F3CD4">
        <w:rPr>
          <w:rFonts w:ascii="Arial" w:hAnsi="Arial" w:cs="Arial"/>
          <w:i/>
          <w:color w:val="000000"/>
          <w:w w:val="79"/>
          <w:sz w:val="22"/>
          <w:szCs w:val="22"/>
        </w:rPr>
        <w:t xml:space="preserve"> la qualità delle infrastrutture scolastiche, l’</w:t>
      </w:r>
      <w:proofErr w:type="spellStart"/>
      <w:r w:rsidRPr="001F3CD4">
        <w:rPr>
          <w:rFonts w:ascii="Arial" w:hAnsi="Arial" w:cs="Arial"/>
          <w:i/>
          <w:color w:val="000000"/>
          <w:w w:val="79"/>
          <w:sz w:val="22"/>
          <w:szCs w:val="22"/>
        </w:rPr>
        <w:t>ecosostenibilità</w:t>
      </w:r>
      <w:proofErr w:type="spellEnd"/>
      <w:r w:rsidRPr="001F3CD4">
        <w:rPr>
          <w:rFonts w:ascii="Arial" w:hAnsi="Arial" w:cs="Arial"/>
          <w:i/>
          <w:color w:val="000000"/>
          <w:w w:val="79"/>
          <w:sz w:val="22"/>
          <w:szCs w:val="22"/>
        </w:rPr>
        <w:t xml:space="preserve"> e la </w:t>
      </w:r>
    </w:p>
    <w:p w:rsidR="00CE5E89" w:rsidRPr="001F3CD4" w:rsidRDefault="00CE5E89" w:rsidP="00CE5E89">
      <w:pPr>
        <w:jc w:val="center"/>
        <w:rPr>
          <w:rFonts w:ascii="Arial" w:hAnsi="Arial" w:cs="Arial"/>
          <w:b/>
          <w:i/>
          <w:color w:val="000000"/>
          <w:w w:val="79"/>
          <w:sz w:val="22"/>
          <w:szCs w:val="22"/>
        </w:rPr>
      </w:pPr>
      <w:r w:rsidRPr="001F3CD4">
        <w:rPr>
          <w:rFonts w:ascii="Arial" w:hAnsi="Arial" w:cs="Arial"/>
          <w:i/>
          <w:color w:val="000000"/>
          <w:w w:val="79"/>
          <w:sz w:val="22"/>
          <w:szCs w:val="22"/>
        </w:rPr>
        <w:t xml:space="preserve">            Sicurezza degli edifici scolastici; potenziare le strutture per garantire la partecipazione delle</w:t>
      </w:r>
      <w:r w:rsidRPr="001F3CD4">
        <w:rPr>
          <w:rFonts w:ascii="Arial" w:hAnsi="Arial" w:cs="Arial"/>
          <w:b/>
          <w:i/>
          <w:color w:val="000000"/>
          <w:w w:val="79"/>
          <w:sz w:val="22"/>
          <w:szCs w:val="22"/>
        </w:rPr>
        <w:t xml:space="preserve">    </w:t>
      </w:r>
    </w:p>
    <w:p w:rsidR="00CE5E89" w:rsidRPr="001F3CD4" w:rsidRDefault="00CE5E89" w:rsidP="00CE5E89">
      <w:pPr>
        <w:jc w:val="center"/>
        <w:rPr>
          <w:rFonts w:ascii="Arial" w:hAnsi="Arial" w:cs="Arial"/>
          <w:i/>
          <w:color w:val="000000"/>
          <w:w w:val="79"/>
          <w:sz w:val="22"/>
          <w:szCs w:val="22"/>
        </w:rPr>
      </w:pPr>
      <w:r w:rsidRPr="001F3CD4">
        <w:rPr>
          <w:rFonts w:ascii="Arial" w:hAnsi="Arial" w:cs="Arial"/>
          <w:i/>
          <w:color w:val="000000"/>
          <w:w w:val="79"/>
          <w:sz w:val="22"/>
          <w:szCs w:val="22"/>
        </w:rPr>
        <w:t>Persone diversamente abili e quelle finalizzate alla qualità della vita degli studenti”</w:t>
      </w:r>
    </w:p>
    <w:p w:rsidR="00CE5E89" w:rsidRPr="001F3CD4" w:rsidRDefault="00CE5E89" w:rsidP="00CE5E89">
      <w:pPr>
        <w:jc w:val="center"/>
        <w:rPr>
          <w:rFonts w:ascii="Arial" w:hAnsi="Arial" w:cs="Arial"/>
          <w:color w:val="000000"/>
          <w:w w:val="79"/>
          <w:sz w:val="22"/>
          <w:szCs w:val="22"/>
        </w:rPr>
      </w:pPr>
      <w:r w:rsidRPr="001F3CD4">
        <w:rPr>
          <w:rFonts w:ascii="Arial" w:hAnsi="Arial" w:cs="Arial"/>
          <w:color w:val="000000"/>
          <w:w w:val="79"/>
          <w:sz w:val="22"/>
          <w:szCs w:val="22"/>
        </w:rPr>
        <w:t>&gt;&gt;&gt;&gt;&gt;&lt;&lt;&lt;&lt;&lt;</w:t>
      </w:r>
    </w:p>
    <w:p w:rsidR="00CE5E89" w:rsidRPr="001F3CD4" w:rsidRDefault="00CE5E89" w:rsidP="00CE5E89">
      <w:pPr>
        <w:jc w:val="center"/>
        <w:rPr>
          <w:rFonts w:ascii="Arial" w:hAnsi="Arial" w:cs="Arial"/>
          <w:color w:val="000000"/>
          <w:w w:val="79"/>
          <w:sz w:val="22"/>
          <w:szCs w:val="22"/>
        </w:rPr>
      </w:pPr>
      <w:r w:rsidRPr="001F3CD4">
        <w:rPr>
          <w:rFonts w:ascii="Arial" w:hAnsi="Arial" w:cs="Arial"/>
          <w:color w:val="000000"/>
          <w:w w:val="79"/>
          <w:sz w:val="22"/>
          <w:szCs w:val="22"/>
        </w:rPr>
        <w:t xml:space="preserve">Repubblica Italiana – Regione Siciliana – Distretto </w:t>
      </w:r>
      <w:proofErr w:type="spellStart"/>
      <w:r w:rsidRPr="001F3CD4">
        <w:rPr>
          <w:rFonts w:ascii="Arial" w:hAnsi="Arial" w:cs="Arial"/>
          <w:color w:val="000000"/>
          <w:w w:val="79"/>
          <w:sz w:val="22"/>
          <w:szCs w:val="22"/>
        </w:rPr>
        <w:t>Scol</w:t>
      </w:r>
      <w:proofErr w:type="spellEnd"/>
      <w:r w:rsidRPr="001F3CD4">
        <w:rPr>
          <w:rFonts w:ascii="Arial" w:hAnsi="Arial" w:cs="Arial"/>
          <w:color w:val="000000"/>
          <w:w w:val="79"/>
          <w:sz w:val="22"/>
          <w:szCs w:val="22"/>
        </w:rPr>
        <w:t>. N° 54</w:t>
      </w:r>
    </w:p>
    <w:p w:rsidR="00CE5E89" w:rsidRPr="001F3CD4" w:rsidRDefault="00CE5E89" w:rsidP="00CE5E89">
      <w:pPr>
        <w:jc w:val="center"/>
        <w:rPr>
          <w:rFonts w:ascii="Arial" w:hAnsi="Arial" w:cs="Arial"/>
          <w:b/>
          <w:color w:val="000000"/>
          <w:w w:val="79"/>
          <w:sz w:val="22"/>
          <w:szCs w:val="22"/>
        </w:rPr>
      </w:pPr>
      <w:r w:rsidRPr="001F3CD4">
        <w:rPr>
          <w:rFonts w:ascii="Arial" w:hAnsi="Arial" w:cs="Arial"/>
          <w:b/>
          <w:color w:val="000000"/>
          <w:w w:val="79"/>
          <w:sz w:val="22"/>
          <w:szCs w:val="22"/>
        </w:rPr>
        <w:t>ISTITUTO COMPRENSIVO GIOVANNI DANTONI</w:t>
      </w:r>
    </w:p>
    <w:p w:rsidR="00CE5E89" w:rsidRPr="001F3CD4" w:rsidRDefault="00CE5E89" w:rsidP="00CE5E89">
      <w:pPr>
        <w:jc w:val="center"/>
        <w:rPr>
          <w:rFonts w:ascii="Arial" w:hAnsi="Arial" w:cs="Arial"/>
          <w:color w:val="000000"/>
          <w:w w:val="79"/>
          <w:sz w:val="22"/>
          <w:szCs w:val="22"/>
        </w:rPr>
      </w:pPr>
      <w:r w:rsidRPr="001F3CD4">
        <w:rPr>
          <w:rFonts w:ascii="Arial" w:hAnsi="Arial" w:cs="Arial"/>
          <w:color w:val="000000"/>
          <w:w w:val="79"/>
          <w:sz w:val="22"/>
          <w:szCs w:val="22"/>
        </w:rPr>
        <w:t>Scuola di Istruzione Infanzia, Primaria e Secondaria di primo Grado</w:t>
      </w:r>
    </w:p>
    <w:p w:rsidR="00CE5E89" w:rsidRPr="001F3CD4" w:rsidRDefault="00CE5E89" w:rsidP="00CE5E89">
      <w:pPr>
        <w:jc w:val="center"/>
        <w:rPr>
          <w:rFonts w:ascii="Arial" w:hAnsi="Arial" w:cs="Arial"/>
          <w:color w:val="000000"/>
          <w:w w:val="79"/>
          <w:sz w:val="22"/>
          <w:szCs w:val="22"/>
        </w:rPr>
      </w:pPr>
      <w:r w:rsidRPr="001F3CD4">
        <w:rPr>
          <w:rFonts w:ascii="Arial" w:hAnsi="Arial" w:cs="Arial"/>
          <w:color w:val="000000"/>
          <w:w w:val="79"/>
          <w:sz w:val="22"/>
          <w:szCs w:val="22"/>
        </w:rPr>
        <w:t xml:space="preserve">Via </w:t>
      </w:r>
      <w:proofErr w:type="spellStart"/>
      <w:proofErr w:type="gramStart"/>
      <w:r w:rsidRPr="001F3CD4">
        <w:rPr>
          <w:rFonts w:ascii="Arial" w:hAnsi="Arial" w:cs="Arial"/>
          <w:color w:val="000000"/>
          <w:w w:val="79"/>
          <w:sz w:val="22"/>
          <w:szCs w:val="22"/>
        </w:rPr>
        <w:t>Perasso</w:t>
      </w:r>
      <w:proofErr w:type="spellEnd"/>
      <w:r w:rsidRPr="001F3CD4">
        <w:rPr>
          <w:rFonts w:ascii="Arial" w:hAnsi="Arial" w:cs="Arial"/>
          <w:color w:val="000000"/>
          <w:w w:val="79"/>
          <w:sz w:val="22"/>
          <w:szCs w:val="22"/>
        </w:rPr>
        <w:t xml:space="preserve">  n</w:t>
      </w:r>
      <w:proofErr w:type="gramEnd"/>
      <w:r w:rsidRPr="001F3CD4">
        <w:rPr>
          <w:rFonts w:ascii="Arial" w:hAnsi="Arial" w:cs="Arial"/>
          <w:color w:val="000000"/>
          <w:w w:val="79"/>
          <w:sz w:val="22"/>
          <w:szCs w:val="22"/>
        </w:rPr>
        <w:t>° 2 - 97018 SCICLI (RG) - C.F. 81000610881</w:t>
      </w:r>
    </w:p>
    <w:p w:rsidR="00CE5E89" w:rsidRPr="001F3CD4" w:rsidRDefault="00CE5E89" w:rsidP="00CE5E89">
      <w:pPr>
        <w:jc w:val="center"/>
        <w:rPr>
          <w:rFonts w:ascii="Arial" w:hAnsi="Arial" w:cs="Arial"/>
          <w:color w:val="000000"/>
          <w:w w:val="79"/>
          <w:sz w:val="22"/>
          <w:szCs w:val="22"/>
        </w:rPr>
      </w:pPr>
      <w:r w:rsidRPr="001F3CD4">
        <w:rPr>
          <w:rFonts w:ascii="Arial" w:hAnsi="Arial" w:cs="Arial"/>
          <w:color w:val="000000"/>
          <w:w w:val="79"/>
          <w:sz w:val="22"/>
          <w:szCs w:val="22"/>
        </w:rPr>
        <w:t>COD. MIN.  RGIC82600R - Tel. 0932/831464 - Fax 0932/831314 -  E-mail: rgic82600r@istruzione.it</w:t>
      </w:r>
    </w:p>
    <w:p w:rsidR="00CE5E89" w:rsidRPr="001F3CD4" w:rsidRDefault="00CE5E89" w:rsidP="00CE5E89">
      <w:pPr>
        <w:jc w:val="center"/>
        <w:rPr>
          <w:rFonts w:ascii="Arial" w:hAnsi="Arial" w:cs="Arial"/>
          <w:iCs/>
          <w:color w:val="000000"/>
          <w:w w:val="79"/>
          <w:sz w:val="22"/>
          <w:szCs w:val="22"/>
        </w:rPr>
      </w:pPr>
      <w:proofErr w:type="spellStart"/>
      <w:r w:rsidRPr="001F3CD4">
        <w:rPr>
          <w:rFonts w:ascii="Arial" w:hAnsi="Arial" w:cs="Arial"/>
          <w:iCs/>
          <w:color w:val="000000"/>
          <w:w w:val="79"/>
          <w:sz w:val="22"/>
          <w:szCs w:val="22"/>
        </w:rPr>
        <w:t>Pec</w:t>
      </w:r>
      <w:proofErr w:type="spellEnd"/>
      <w:r w:rsidRPr="001F3CD4">
        <w:rPr>
          <w:rFonts w:ascii="Arial" w:hAnsi="Arial" w:cs="Arial"/>
          <w:iCs/>
          <w:color w:val="000000"/>
          <w:w w:val="79"/>
          <w:sz w:val="22"/>
          <w:szCs w:val="22"/>
        </w:rPr>
        <w:t xml:space="preserve">: </w:t>
      </w:r>
      <w:hyperlink r:id="rId5" w:history="1">
        <w:r w:rsidRPr="001F3CD4">
          <w:rPr>
            <w:rFonts w:ascii="Arial" w:hAnsi="Arial" w:cs="Arial"/>
            <w:iCs/>
            <w:color w:val="0563C1"/>
            <w:w w:val="79"/>
            <w:sz w:val="22"/>
            <w:szCs w:val="22"/>
            <w:u w:val="single"/>
          </w:rPr>
          <w:t>rgic82600r@pec.istruzione.it</w:t>
        </w:r>
      </w:hyperlink>
      <w:r w:rsidRPr="001F3CD4">
        <w:rPr>
          <w:rFonts w:ascii="Arial" w:hAnsi="Arial" w:cs="Arial"/>
          <w:iCs/>
          <w:color w:val="000000"/>
          <w:w w:val="79"/>
          <w:sz w:val="22"/>
          <w:szCs w:val="22"/>
        </w:rPr>
        <w:t xml:space="preserve"> –</w:t>
      </w:r>
    </w:p>
    <w:p w:rsidR="00CE5E89" w:rsidRDefault="00CE5E89" w:rsidP="00CE5E89">
      <w:pPr>
        <w:spacing w:after="28"/>
        <w:rPr>
          <w:rFonts w:cs="Arial"/>
          <w:b/>
          <w:bCs/>
          <w:sz w:val="28"/>
          <w:szCs w:val="28"/>
        </w:rPr>
      </w:pPr>
    </w:p>
    <w:p w:rsidR="00CE5E89" w:rsidRDefault="00CE5E89" w:rsidP="00CE5E89">
      <w:pPr>
        <w:spacing w:after="28"/>
        <w:rPr>
          <w:rFonts w:cs="Arial"/>
          <w:b/>
          <w:bCs/>
          <w:sz w:val="28"/>
          <w:szCs w:val="28"/>
        </w:rPr>
      </w:pPr>
    </w:p>
    <w:p w:rsidR="00CE5E89" w:rsidRPr="00280767" w:rsidRDefault="00CE5E89" w:rsidP="00CE5E89">
      <w:pPr>
        <w:spacing w:after="28"/>
        <w:jc w:val="center"/>
        <w:rPr>
          <w:rFonts w:cs="Arial"/>
          <w:b/>
          <w:bCs/>
          <w:sz w:val="44"/>
          <w:szCs w:val="44"/>
        </w:rPr>
      </w:pPr>
      <w:r w:rsidRPr="00280767">
        <w:rPr>
          <w:rFonts w:cs="Arial"/>
          <w:b/>
          <w:bCs/>
          <w:sz w:val="44"/>
          <w:szCs w:val="44"/>
        </w:rPr>
        <w:t xml:space="preserve">BANDO DI GARA A PROCEDURA APERTA, PER </w:t>
      </w:r>
    </w:p>
    <w:p w:rsidR="00CE5E89" w:rsidRPr="00280767" w:rsidRDefault="00CE5E89" w:rsidP="00CE5E89">
      <w:pPr>
        <w:spacing w:after="28" w:line="360" w:lineRule="auto"/>
        <w:jc w:val="center"/>
        <w:rPr>
          <w:rFonts w:cs="Arial"/>
          <w:b/>
          <w:bCs/>
          <w:sz w:val="44"/>
          <w:szCs w:val="44"/>
        </w:rPr>
      </w:pPr>
      <w:r w:rsidRPr="00280767">
        <w:rPr>
          <w:rFonts w:cs="Arial"/>
          <w:b/>
          <w:bCs/>
          <w:sz w:val="44"/>
          <w:szCs w:val="44"/>
        </w:rPr>
        <w:t xml:space="preserve">L’AFFIDAMENTO DEI LAVORI </w:t>
      </w:r>
    </w:p>
    <w:p w:rsidR="00CE5E89" w:rsidRDefault="00CE5E89" w:rsidP="00CE5E89">
      <w:pPr>
        <w:spacing w:after="28" w:line="360" w:lineRule="auto"/>
        <w:jc w:val="center"/>
        <w:rPr>
          <w:rFonts w:cs="Arial"/>
          <w:b/>
          <w:bCs/>
          <w:sz w:val="44"/>
          <w:szCs w:val="44"/>
        </w:rPr>
      </w:pPr>
      <w:r>
        <w:rPr>
          <w:rFonts w:cs="Arial"/>
          <w:b/>
          <w:bCs/>
          <w:sz w:val="44"/>
          <w:szCs w:val="44"/>
        </w:rPr>
        <w:t>AVVISO DI RETTIFICA – ERRATA CORRIGE</w:t>
      </w:r>
    </w:p>
    <w:p w:rsidR="005951DB" w:rsidRPr="00280767" w:rsidRDefault="005951DB" w:rsidP="00CE5E89">
      <w:pPr>
        <w:spacing w:after="28" w:line="360" w:lineRule="auto"/>
        <w:jc w:val="center"/>
        <w:rPr>
          <w:b/>
          <w:sz w:val="44"/>
          <w:szCs w:val="44"/>
        </w:rPr>
      </w:pPr>
    </w:p>
    <w:p w:rsidR="00CE5E89" w:rsidRPr="005951DB" w:rsidRDefault="00CE5E89" w:rsidP="00CE5E89">
      <w:pPr>
        <w:autoSpaceDE w:val="0"/>
        <w:autoSpaceDN w:val="0"/>
        <w:adjustRightInd w:val="0"/>
        <w:jc w:val="both"/>
        <w:rPr>
          <w:rFonts w:ascii="Tahoma" w:hAnsi="Tahoma" w:cs="Tahoma"/>
          <w:color w:val="000000"/>
          <w:sz w:val="28"/>
          <w:szCs w:val="28"/>
        </w:rPr>
      </w:pPr>
      <w:r w:rsidRPr="005951DB">
        <w:rPr>
          <w:color w:val="000000"/>
          <w:sz w:val="28"/>
          <w:szCs w:val="28"/>
        </w:rPr>
        <w:t>Progetto per incrementare la qualità delle infrastrutture scolastiche, l'</w:t>
      </w:r>
      <w:proofErr w:type="spellStart"/>
      <w:r w:rsidRPr="005951DB">
        <w:rPr>
          <w:color w:val="000000"/>
          <w:sz w:val="28"/>
          <w:szCs w:val="28"/>
        </w:rPr>
        <w:t>ecosostenibilità</w:t>
      </w:r>
      <w:proofErr w:type="spellEnd"/>
      <w:r w:rsidRPr="005951DB">
        <w:rPr>
          <w:color w:val="000000"/>
          <w:sz w:val="28"/>
          <w:szCs w:val="28"/>
        </w:rPr>
        <w:t xml:space="preserve"> e la sicurezza degli edifici scolastici potenziando le strutture per garantire la partecipazione delle persone diversamente abili e quelli finalizzati alla qualità della vita degli studenti.  </w:t>
      </w:r>
      <w:r w:rsidRPr="005951DB">
        <w:rPr>
          <w:b/>
          <w:color w:val="000000"/>
          <w:sz w:val="28"/>
          <w:szCs w:val="28"/>
        </w:rPr>
        <w:t xml:space="preserve">ASSE II </w:t>
      </w:r>
      <w:r w:rsidRPr="005951DB">
        <w:rPr>
          <w:b/>
          <w:i/>
          <w:iCs/>
          <w:color w:val="000000"/>
          <w:sz w:val="28"/>
          <w:szCs w:val="28"/>
        </w:rPr>
        <w:t xml:space="preserve">" Qualità degli ambienti Scolastici </w:t>
      </w:r>
      <w:proofErr w:type="gramStart"/>
      <w:r w:rsidRPr="005951DB">
        <w:rPr>
          <w:b/>
          <w:i/>
          <w:iCs/>
          <w:color w:val="000000"/>
          <w:sz w:val="28"/>
          <w:szCs w:val="28"/>
        </w:rPr>
        <w:t>"</w:t>
      </w:r>
      <w:r w:rsidRPr="005951DB">
        <w:rPr>
          <w:b/>
          <w:color w:val="000000"/>
          <w:sz w:val="28"/>
          <w:szCs w:val="28"/>
        </w:rPr>
        <w:t xml:space="preserve">  Obiettivo</w:t>
      </w:r>
      <w:proofErr w:type="gramEnd"/>
      <w:r w:rsidRPr="005951DB">
        <w:rPr>
          <w:b/>
          <w:color w:val="000000"/>
          <w:sz w:val="28"/>
          <w:szCs w:val="28"/>
        </w:rPr>
        <w:t xml:space="preserve"> C.-</w:t>
      </w:r>
      <w:r w:rsidRPr="005951DB">
        <w:rPr>
          <w:rFonts w:ascii="Tahoma" w:hAnsi="Tahoma" w:cs="Tahoma"/>
          <w:color w:val="000000"/>
          <w:sz w:val="28"/>
          <w:szCs w:val="28"/>
        </w:rPr>
        <w:t xml:space="preserve">   CIG: 6374138912</w:t>
      </w:r>
    </w:p>
    <w:p w:rsidR="00CE5E89" w:rsidRPr="005951DB" w:rsidRDefault="00CE5E89" w:rsidP="00CE5E89">
      <w:pPr>
        <w:autoSpaceDE w:val="0"/>
        <w:autoSpaceDN w:val="0"/>
        <w:adjustRightInd w:val="0"/>
        <w:jc w:val="both"/>
        <w:rPr>
          <w:rFonts w:ascii="Tahoma" w:hAnsi="Tahoma" w:cs="Tahoma"/>
          <w:color w:val="000000"/>
          <w:sz w:val="28"/>
          <w:szCs w:val="28"/>
        </w:rPr>
      </w:pPr>
    </w:p>
    <w:p w:rsidR="00CE5E89" w:rsidRPr="005951DB" w:rsidRDefault="00CE5E89" w:rsidP="00CE5E89">
      <w:pPr>
        <w:suppressAutoHyphens w:val="0"/>
        <w:autoSpaceDE w:val="0"/>
        <w:jc w:val="both"/>
        <w:rPr>
          <w:bCs/>
          <w:sz w:val="28"/>
          <w:szCs w:val="28"/>
        </w:rPr>
      </w:pPr>
      <w:r w:rsidRPr="005951DB">
        <w:rPr>
          <w:rFonts w:ascii="Tahoma" w:hAnsi="Tahoma" w:cs="Tahoma"/>
          <w:color w:val="000000"/>
          <w:sz w:val="28"/>
          <w:szCs w:val="28"/>
        </w:rPr>
        <w:t xml:space="preserve">   </w:t>
      </w:r>
      <w:r w:rsidRPr="005951DB">
        <w:rPr>
          <w:bCs/>
          <w:sz w:val="28"/>
          <w:szCs w:val="28"/>
        </w:rPr>
        <w:t xml:space="preserve">   In riferimento all’appalto in oggetto Bando di Gara pubblicato in data 04/09/2015 con </w:t>
      </w:r>
      <w:proofErr w:type="spellStart"/>
      <w:r w:rsidRPr="005951DB">
        <w:rPr>
          <w:bCs/>
          <w:sz w:val="28"/>
          <w:szCs w:val="28"/>
        </w:rPr>
        <w:t>prot</w:t>
      </w:r>
      <w:proofErr w:type="spellEnd"/>
      <w:r w:rsidRPr="005951DB">
        <w:rPr>
          <w:bCs/>
          <w:sz w:val="28"/>
          <w:szCs w:val="28"/>
        </w:rPr>
        <w:t xml:space="preserve">. N. 3442/C23B sul sito dell’Istituto </w:t>
      </w:r>
      <w:hyperlink r:id="rId6" w:history="1">
        <w:r w:rsidRPr="005951DB">
          <w:rPr>
            <w:rStyle w:val="Collegamentoipertestuale"/>
            <w:bCs/>
            <w:sz w:val="28"/>
            <w:szCs w:val="28"/>
          </w:rPr>
          <w:t>www.icgiovannidantoni.it</w:t>
        </w:r>
      </w:hyperlink>
      <w:r w:rsidRPr="005951DB">
        <w:rPr>
          <w:bCs/>
          <w:sz w:val="28"/>
          <w:szCs w:val="28"/>
        </w:rPr>
        <w:t xml:space="preserve"> e sul sito dell’amministrazione </w:t>
      </w:r>
      <w:proofErr w:type="gramStart"/>
      <w:r w:rsidRPr="005951DB">
        <w:rPr>
          <w:bCs/>
          <w:sz w:val="28"/>
          <w:szCs w:val="28"/>
        </w:rPr>
        <w:t xml:space="preserve">comunale  </w:t>
      </w:r>
      <w:hyperlink r:id="rId7" w:history="1">
        <w:r w:rsidRPr="005951DB">
          <w:rPr>
            <w:rStyle w:val="Collegamentoipertestuale"/>
            <w:bCs/>
            <w:sz w:val="28"/>
            <w:szCs w:val="28"/>
          </w:rPr>
          <w:t>www.comune.scicli.rg.it</w:t>
        </w:r>
        <w:proofErr w:type="gramEnd"/>
      </w:hyperlink>
      <w:r w:rsidRPr="005951DB">
        <w:rPr>
          <w:bCs/>
          <w:sz w:val="28"/>
          <w:szCs w:val="28"/>
        </w:rPr>
        <w:t xml:space="preserve"> , con il presente avviso  si informano le imprese interessate alla partecipazione alla gara in oggetto che per mero errore materiale si apportano le seguenti modifiche:</w:t>
      </w:r>
    </w:p>
    <w:p w:rsidR="005951DB" w:rsidRDefault="005951DB" w:rsidP="00CE5E89">
      <w:pPr>
        <w:autoSpaceDE w:val="0"/>
        <w:autoSpaceDN w:val="0"/>
        <w:adjustRightInd w:val="0"/>
        <w:jc w:val="both"/>
        <w:rPr>
          <w:rFonts w:eastAsia="Helvetica"/>
          <w:sz w:val="28"/>
          <w:szCs w:val="28"/>
        </w:rPr>
      </w:pPr>
    </w:p>
    <w:p w:rsidR="005951DB" w:rsidRDefault="005951DB" w:rsidP="00CE5E89">
      <w:pPr>
        <w:autoSpaceDE w:val="0"/>
        <w:autoSpaceDN w:val="0"/>
        <w:adjustRightInd w:val="0"/>
        <w:jc w:val="both"/>
        <w:rPr>
          <w:rFonts w:eastAsia="Helvetica"/>
          <w:sz w:val="28"/>
          <w:szCs w:val="28"/>
        </w:rPr>
      </w:pPr>
    </w:p>
    <w:p w:rsidR="005951DB" w:rsidRDefault="005951DB" w:rsidP="00CE5E89">
      <w:pPr>
        <w:autoSpaceDE w:val="0"/>
        <w:autoSpaceDN w:val="0"/>
        <w:adjustRightInd w:val="0"/>
        <w:jc w:val="both"/>
        <w:rPr>
          <w:rFonts w:eastAsia="Helvetica"/>
          <w:sz w:val="28"/>
          <w:szCs w:val="28"/>
        </w:rPr>
      </w:pPr>
    </w:p>
    <w:p w:rsidR="005951DB" w:rsidRDefault="005951DB" w:rsidP="00CE5E89">
      <w:pPr>
        <w:autoSpaceDE w:val="0"/>
        <w:autoSpaceDN w:val="0"/>
        <w:adjustRightInd w:val="0"/>
        <w:jc w:val="both"/>
        <w:rPr>
          <w:rFonts w:eastAsia="Helvetica"/>
          <w:sz w:val="28"/>
          <w:szCs w:val="28"/>
        </w:rPr>
      </w:pPr>
    </w:p>
    <w:p w:rsidR="00A741B9" w:rsidRPr="005951DB" w:rsidRDefault="00792225" w:rsidP="00CE5E89">
      <w:pPr>
        <w:autoSpaceDE w:val="0"/>
        <w:autoSpaceDN w:val="0"/>
        <w:adjustRightInd w:val="0"/>
        <w:jc w:val="both"/>
        <w:rPr>
          <w:rFonts w:eastAsia="Helvetica"/>
          <w:sz w:val="28"/>
          <w:szCs w:val="28"/>
        </w:rPr>
      </w:pPr>
      <w:r w:rsidRPr="005951DB">
        <w:rPr>
          <w:rFonts w:eastAsia="Helvetica"/>
          <w:sz w:val="28"/>
          <w:szCs w:val="28"/>
        </w:rPr>
        <w:lastRenderedPageBreak/>
        <w:t>Al Punto II.2.1) del Bando di gara pag. 3</w:t>
      </w:r>
      <w:r w:rsidR="005951DB" w:rsidRPr="005951DB">
        <w:rPr>
          <w:rFonts w:eastAsia="Helvetica"/>
          <w:sz w:val="28"/>
          <w:szCs w:val="28"/>
        </w:rPr>
        <w:t>:</w:t>
      </w:r>
    </w:p>
    <w:tbl>
      <w:tblPr>
        <w:tblW w:w="9696" w:type="dxa"/>
        <w:tblInd w:w="55" w:type="dxa"/>
        <w:tblLayout w:type="fixed"/>
        <w:tblCellMar>
          <w:top w:w="55" w:type="dxa"/>
          <w:left w:w="55" w:type="dxa"/>
          <w:bottom w:w="55" w:type="dxa"/>
          <w:right w:w="55" w:type="dxa"/>
        </w:tblCellMar>
        <w:tblLook w:val="0000" w:firstRow="0" w:lastRow="0" w:firstColumn="0" w:lastColumn="0" w:noHBand="0" w:noVBand="0"/>
      </w:tblPr>
      <w:tblGrid>
        <w:gridCol w:w="2329"/>
        <w:gridCol w:w="957"/>
        <w:gridCol w:w="928"/>
        <w:gridCol w:w="1300"/>
        <w:gridCol w:w="1290"/>
        <w:gridCol w:w="667"/>
        <w:gridCol w:w="1143"/>
        <w:gridCol w:w="1024"/>
        <w:gridCol w:w="26"/>
        <w:gridCol w:w="26"/>
        <w:gridCol w:w="6"/>
      </w:tblGrid>
      <w:tr w:rsidR="005951DB" w:rsidRPr="005951DB" w:rsidTr="00E7470A">
        <w:tc>
          <w:tcPr>
            <w:tcW w:w="9696" w:type="dxa"/>
            <w:gridSpan w:val="11"/>
            <w:tcBorders>
              <w:top w:val="single" w:sz="1" w:space="0" w:color="000000"/>
              <w:left w:val="single" w:sz="1" w:space="0" w:color="000000"/>
              <w:bottom w:val="single" w:sz="1" w:space="0" w:color="000000"/>
              <w:right w:val="single" w:sz="1" w:space="0" w:color="000000"/>
            </w:tcBorders>
            <w:shd w:val="clear" w:color="auto" w:fill="auto"/>
          </w:tcPr>
          <w:p w:rsidR="005951DB" w:rsidRPr="005951DB" w:rsidRDefault="005951DB" w:rsidP="005951DB">
            <w:pPr>
              <w:suppressLineNumbers/>
              <w:spacing w:after="57"/>
              <w:jc w:val="both"/>
            </w:pPr>
            <w:r w:rsidRPr="005951DB">
              <w:rPr>
                <w:b/>
                <w:bCs/>
                <w:sz w:val="22"/>
                <w:szCs w:val="22"/>
              </w:rPr>
              <w:t>II.2.1)</w:t>
            </w:r>
            <w:r w:rsidRPr="005951DB">
              <w:rPr>
                <w:sz w:val="22"/>
                <w:szCs w:val="22"/>
              </w:rPr>
              <w:t xml:space="preserve">   Quantitativo o entità totale: </w:t>
            </w:r>
            <w:proofErr w:type="gramStart"/>
            <w:r w:rsidRPr="005951DB">
              <w:rPr>
                <w:b/>
                <w:bCs/>
                <w:sz w:val="22"/>
                <w:szCs w:val="22"/>
              </w:rPr>
              <w:t>€  234.008</w:t>
            </w:r>
            <w:proofErr w:type="gramEnd"/>
            <w:r w:rsidRPr="005951DB">
              <w:rPr>
                <w:b/>
                <w:bCs/>
                <w:sz w:val="22"/>
                <w:szCs w:val="22"/>
              </w:rPr>
              <w:t>,05</w:t>
            </w:r>
            <w:r w:rsidRPr="005951DB">
              <w:rPr>
                <w:sz w:val="22"/>
                <w:szCs w:val="22"/>
              </w:rPr>
              <w:t xml:space="preserve"> di cui </w:t>
            </w:r>
            <w:r w:rsidRPr="005951DB">
              <w:rPr>
                <w:b/>
                <w:bCs/>
                <w:sz w:val="22"/>
                <w:szCs w:val="22"/>
              </w:rPr>
              <w:t>€ 163.155,69</w:t>
            </w:r>
            <w:r w:rsidRPr="005951DB">
              <w:rPr>
                <w:sz w:val="22"/>
                <w:szCs w:val="22"/>
              </w:rPr>
              <w:t xml:space="preserve"> per lavori soggetti a ribasso d'asta ed </w:t>
            </w:r>
            <w:r w:rsidRPr="005951DB">
              <w:rPr>
                <w:b/>
                <w:bCs/>
                <w:sz w:val="22"/>
                <w:szCs w:val="22"/>
              </w:rPr>
              <w:t xml:space="preserve">€ 70.852,36  </w:t>
            </w:r>
            <w:r w:rsidRPr="005951DB">
              <w:rPr>
                <w:sz w:val="22"/>
                <w:szCs w:val="22"/>
              </w:rPr>
              <w:t xml:space="preserve">per oneri per l'attuazione dei piani di sicurezza e mano d’opera  non soggetti a ribasso, tutto  oltre IVA. </w:t>
            </w:r>
          </w:p>
        </w:tc>
      </w:tr>
      <w:tr w:rsidR="005951DB" w:rsidRPr="005951DB" w:rsidTr="00E7470A">
        <w:trPr>
          <w:gridAfter w:val="1"/>
          <w:wAfter w:w="6" w:type="dxa"/>
        </w:trPr>
        <w:tc>
          <w:tcPr>
            <w:tcW w:w="2329"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jc w:val="center"/>
            </w:pPr>
            <w:r w:rsidRPr="005951DB">
              <w:t>Lavorazioni</w:t>
            </w:r>
          </w:p>
        </w:tc>
        <w:tc>
          <w:tcPr>
            <w:tcW w:w="957"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jc w:val="center"/>
            </w:pPr>
            <w:r w:rsidRPr="005951DB">
              <w:t>Categoria</w:t>
            </w:r>
          </w:p>
        </w:tc>
        <w:tc>
          <w:tcPr>
            <w:tcW w:w="928"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jc w:val="center"/>
            </w:pPr>
            <w:r w:rsidRPr="005951DB">
              <w:t>Classifica</w:t>
            </w:r>
          </w:p>
        </w:tc>
        <w:tc>
          <w:tcPr>
            <w:tcW w:w="1300"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jc w:val="center"/>
            </w:pPr>
            <w:r w:rsidRPr="005951DB">
              <w:t>Qualificazione obbligatoria (sì/no)</w:t>
            </w:r>
          </w:p>
        </w:tc>
        <w:tc>
          <w:tcPr>
            <w:tcW w:w="1290"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jc w:val="center"/>
            </w:pPr>
            <w:r w:rsidRPr="005951DB">
              <w:t>Importo €</w:t>
            </w:r>
          </w:p>
        </w:tc>
        <w:tc>
          <w:tcPr>
            <w:tcW w:w="667"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jc w:val="center"/>
            </w:pPr>
            <w:r w:rsidRPr="005951DB">
              <w:t>%</w:t>
            </w:r>
          </w:p>
        </w:tc>
        <w:tc>
          <w:tcPr>
            <w:tcW w:w="2219"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5951DB" w:rsidRPr="005951DB" w:rsidRDefault="005951DB" w:rsidP="005951DB">
            <w:pPr>
              <w:suppressLineNumbers/>
              <w:jc w:val="center"/>
            </w:pPr>
            <w:r w:rsidRPr="005951DB">
              <w:t>Indicazioni speciali ai fini della gara</w:t>
            </w:r>
          </w:p>
        </w:tc>
      </w:tr>
      <w:tr w:rsidR="005951DB" w:rsidRPr="005951DB" w:rsidTr="00E7470A">
        <w:trPr>
          <w:gridAfter w:val="1"/>
          <w:wAfter w:w="6" w:type="dxa"/>
        </w:trPr>
        <w:tc>
          <w:tcPr>
            <w:tcW w:w="2329"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snapToGrid w:val="0"/>
              <w:jc w:val="center"/>
            </w:pPr>
          </w:p>
        </w:tc>
        <w:tc>
          <w:tcPr>
            <w:tcW w:w="957"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snapToGrid w:val="0"/>
              <w:jc w:val="center"/>
            </w:pPr>
          </w:p>
        </w:tc>
        <w:tc>
          <w:tcPr>
            <w:tcW w:w="928"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snapToGrid w:val="0"/>
              <w:jc w:val="center"/>
            </w:pPr>
          </w:p>
        </w:tc>
        <w:tc>
          <w:tcPr>
            <w:tcW w:w="1300"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snapToGrid w:val="0"/>
              <w:jc w:val="center"/>
            </w:pPr>
          </w:p>
        </w:tc>
        <w:tc>
          <w:tcPr>
            <w:tcW w:w="1290"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snapToGrid w:val="0"/>
              <w:jc w:val="center"/>
            </w:pPr>
          </w:p>
        </w:tc>
        <w:tc>
          <w:tcPr>
            <w:tcW w:w="667"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5951DB">
            <w:pPr>
              <w:suppressLineNumbers/>
              <w:snapToGrid w:val="0"/>
              <w:jc w:val="center"/>
            </w:pPr>
          </w:p>
        </w:tc>
        <w:tc>
          <w:tcPr>
            <w:tcW w:w="1143" w:type="dxa"/>
            <w:tcBorders>
              <w:left w:val="single" w:sz="1" w:space="0" w:color="000000"/>
              <w:bottom w:val="single" w:sz="1" w:space="0" w:color="000000"/>
            </w:tcBorders>
            <w:shd w:val="clear" w:color="auto" w:fill="auto"/>
            <w:vAlign w:val="center"/>
          </w:tcPr>
          <w:p w:rsidR="005951DB" w:rsidRPr="005951DB" w:rsidRDefault="005951DB" w:rsidP="005951DB">
            <w:pPr>
              <w:suppressLineNumbers/>
              <w:jc w:val="center"/>
            </w:pPr>
            <w:r w:rsidRPr="005951DB">
              <w:t>Prevalente o scorporabile</w:t>
            </w:r>
          </w:p>
        </w:tc>
        <w:tc>
          <w:tcPr>
            <w:tcW w:w="1076" w:type="dxa"/>
            <w:gridSpan w:val="3"/>
            <w:tcBorders>
              <w:left w:val="single" w:sz="1" w:space="0" w:color="000000"/>
              <w:bottom w:val="single" w:sz="1" w:space="0" w:color="000000"/>
              <w:right w:val="single" w:sz="1" w:space="0" w:color="000000"/>
            </w:tcBorders>
            <w:shd w:val="clear" w:color="auto" w:fill="auto"/>
            <w:vAlign w:val="center"/>
          </w:tcPr>
          <w:p w:rsidR="005951DB" w:rsidRPr="005951DB" w:rsidRDefault="005951DB" w:rsidP="005951DB">
            <w:pPr>
              <w:suppressLineNumbers/>
              <w:suppressAutoHyphens w:val="0"/>
              <w:jc w:val="center"/>
            </w:pPr>
            <w:r w:rsidRPr="005951DB">
              <w:t>Sub-appaltabile</w:t>
            </w:r>
          </w:p>
        </w:tc>
      </w:tr>
      <w:tr w:rsidR="005951DB" w:rsidRPr="005951DB" w:rsidTr="00E7470A">
        <w:trPr>
          <w:gridAfter w:val="1"/>
          <w:wAfter w:w="6" w:type="dxa"/>
        </w:trPr>
        <w:tc>
          <w:tcPr>
            <w:tcW w:w="2329" w:type="dxa"/>
            <w:tcBorders>
              <w:left w:val="single" w:sz="1" w:space="0" w:color="000000"/>
              <w:bottom w:val="single" w:sz="1" w:space="0" w:color="000000"/>
            </w:tcBorders>
            <w:shd w:val="clear" w:color="auto" w:fill="auto"/>
          </w:tcPr>
          <w:p w:rsidR="005951DB" w:rsidRPr="005951DB" w:rsidRDefault="005951DB" w:rsidP="005951DB">
            <w:pPr>
              <w:widowControl w:val="0"/>
              <w:suppressAutoHyphens w:val="0"/>
              <w:adjustRightInd w:val="0"/>
              <w:spacing w:after="15" w:line="247" w:lineRule="auto"/>
              <w:ind w:left="-5" w:right="128" w:firstLine="5"/>
              <w:jc w:val="distribute"/>
              <w:rPr>
                <w:rFonts w:eastAsia="Times New Roman2" w:cs="Times New Roman2"/>
                <w:sz w:val="16"/>
                <w:lang w:eastAsia="it-IT"/>
              </w:rPr>
            </w:pPr>
            <w:r w:rsidRPr="005951DB">
              <w:rPr>
                <w:rFonts w:eastAsia="Times New Roman2" w:cs="Times New Roman2"/>
                <w:sz w:val="16"/>
                <w:lang w:eastAsia="it-IT"/>
              </w:rPr>
              <w:t xml:space="preserve"> </w:t>
            </w:r>
            <w:r w:rsidRPr="005951DB">
              <w:rPr>
                <w:rFonts w:eastAsia="Times New Roman2" w:cs="Times New Roman2"/>
                <w:b/>
                <w:sz w:val="16"/>
                <w:lang w:eastAsia="it-IT"/>
              </w:rPr>
              <w:t xml:space="preserve">L’intervento è finalizzato alla Realizzazione di impianto </w:t>
            </w:r>
            <w:proofErr w:type="gramStart"/>
            <w:r w:rsidRPr="005951DB">
              <w:rPr>
                <w:rFonts w:eastAsia="Times New Roman2" w:cs="Times New Roman2"/>
                <w:b/>
                <w:sz w:val="16"/>
                <w:lang w:eastAsia="it-IT"/>
              </w:rPr>
              <w:t>Fotovoltaico ;</w:t>
            </w:r>
            <w:proofErr w:type="gramEnd"/>
            <w:r w:rsidRPr="005951DB">
              <w:rPr>
                <w:rFonts w:eastAsia="Times New Roman2" w:cs="Times New Roman2"/>
                <w:b/>
                <w:sz w:val="16"/>
                <w:lang w:eastAsia="it-IT"/>
              </w:rPr>
              <w:t xml:space="preserve">   Tinteggiatura con intonaco e successiva verniciatura di pareti verticali - Realizzazione di sala riunioni; Ristrutturazione completa bagni;   Realizzazione impianti di allarme e citofoni;  nel  plesso scolastico  di scuola secondaria di Primo Grado Miccichè – </w:t>
            </w:r>
            <w:proofErr w:type="spellStart"/>
            <w:r w:rsidRPr="005951DB">
              <w:rPr>
                <w:rFonts w:eastAsia="Times New Roman2" w:cs="Times New Roman2"/>
                <w:b/>
                <w:sz w:val="16"/>
                <w:lang w:eastAsia="it-IT"/>
              </w:rPr>
              <w:t>Lipparini</w:t>
            </w:r>
            <w:proofErr w:type="spellEnd"/>
          </w:p>
          <w:p w:rsidR="005951DB" w:rsidRPr="005951DB" w:rsidRDefault="005951DB" w:rsidP="005951DB">
            <w:pPr>
              <w:widowControl w:val="0"/>
              <w:suppressAutoHyphens w:val="0"/>
              <w:snapToGrid w:val="0"/>
              <w:jc w:val="both"/>
              <w:rPr>
                <w:b/>
              </w:rPr>
            </w:pPr>
          </w:p>
        </w:tc>
        <w:tc>
          <w:tcPr>
            <w:tcW w:w="957" w:type="dxa"/>
            <w:tcBorders>
              <w:left w:val="single" w:sz="1" w:space="0" w:color="000000"/>
              <w:bottom w:val="single" w:sz="1" w:space="0" w:color="000000"/>
            </w:tcBorders>
            <w:shd w:val="clear" w:color="auto" w:fill="auto"/>
          </w:tcPr>
          <w:p w:rsidR="005951DB" w:rsidRPr="005951DB" w:rsidRDefault="005951DB" w:rsidP="005951DB">
            <w:pPr>
              <w:suppressAutoHyphens w:val="0"/>
              <w:snapToGrid w:val="0"/>
              <w:jc w:val="center"/>
              <w:rPr>
                <w:rFonts w:eastAsia="Arial Unicode MS"/>
              </w:rPr>
            </w:pPr>
            <w:r w:rsidRPr="005951DB">
              <w:rPr>
                <w:rFonts w:eastAsia="Arial Unicode MS"/>
                <w:sz w:val="24"/>
              </w:rPr>
              <w:t>OG1</w:t>
            </w:r>
            <w:r w:rsidRPr="005951DB">
              <w:rPr>
                <w:b/>
              </w:rPr>
              <w:t xml:space="preserve"> </w:t>
            </w:r>
          </w:p>
        </w:tc>
        <w:tc>
          <w:tcPr>
            <w:tcW w:w="928" w:type="dxa"/>
            <w:tcBorders>
              <w:left w:val="single" w:sz="1" w:space="0" w:color="000000"/>
              <w:bottom w:val="single" w:sz="1" w:space="0" w:color="000000"/>
            </w:tcBorders>
            <w:shd w:val="clear" w:color="auto" w:fill="auto"/>
          </w:tcPr>
          <w:p w:rsidR="005951DB" w:rsidRPr="005951DB" w:rsidRDefault="005951DB" w:rsidP="005951DB">
            <w:pPr>
              <w:snapToGrid w:val="0"/>
              <w:jc w:val="center"/>
            </w:pPr>
            <w:r w:rsidRPr="005951DB">
              <w:t>I</w:t>
            </w:r>
          </w:p>
        </w:tc>
        <w:tc>
          <w:tcPr>
            <w:tcW w:w="1300" w:type="dxa"/>
            <w:tcBorders>
              <w:left w:val="single" w:sz="1" w:space="0" w:color="000000"/>
              <w:bottom w:val="single" w:sz="1" w:space="0" w:color="000000"/>
            </w:tcBorders>
            <w:shd w:val="clear" w:color="auto" w:fill="auto"/>
          </w:tcPr>
          <w:p w:rsidR="005951DB" w:rsidRPr="005951DB" w:rsidRDefault="005951DB" w:rsidP="005951DB">
            <w:pPr>
              <w:snapToGrid w:val="0"/>
              <w:jc w:val="center"/>
            </w:pPr>
            <w:r w:rsidRPr="005951DB">
              <w:t>NO</w:t>
            </w:r>
          </w:p>
        </w:tc>
        <w:tc>
          <w:tcPr>
            <w:tcW w:w="1290" w:type="dxa"/>
            <w:tcBorders>
              <w:left w:val="single" w:sz="1" w:space="0" w:color="000000"/>
              <w:bottom w:val="single" w:sz="1" w:space="0" w:color="000000"/>
            </w:tcBorders>
            <w:shd w:val="clear" w:color="auto" w:fill="auto"/>
          </w:tcPr>
          <w:p w:rsidR="005951DB" w:rsidRPr="005951DB" w:rsidRDefault="005951DB" w:rsidP="005951DB">
            <w:pPr>
              <w:snapToGrid w:val="0"/>
            </w:pPr>
            <w:r w:rsidRPr="005951DB">
              <w:rPr>
                <w:bCs/>
                <w:sz w:val="22"/>
                <w:szCs w:val="22"/>
              </w:rPr>
              <w:t>€ 1</w:t>
            </w:r>
            <w:r w:rsidRPr="005951DB">
              <w:t>61.258,05</w:t>
            </w:r>
          </w:p>
        </w:tc>
        <w:tc>
          <w:tcPr>
            <w:tcW w:w="667" w:type="dxa"/>
            <w:tcBorders>
              <w:left w:val="single" w:sz="1" w:space="0" w:color="000000"/>
              <w:bottom w:val="single" w:sz="1" w:space="0" w:color="000000"/>
            </w:tcBorders>
            <w:shd w:val="clear" w:color="auto" w:fill="auto"/>
          </w:tcPr>
          <w:p w:rsidR="005951DB" w:rsidRPr="005951DB" w:rsidRDefault="005951DB" w:rsidP="005951DB">
            <w:pPr>
              <w:snapToGrid w:val="0"/>
              <w:jc w:val="center"/>
            </w:pPr>
            <w:r w:rsidRPr="005951DB">
              <w:t>68,91</w:t>
            </w:r>
          </w:p>
        </w:tc>
        <w:tc>
          <w:tcPr>
            <w:tcW w:w="1143" w:type="dxa"/>
            <w:tcBorders>
              <w:left w:val="single" w:sz="1" w:space="0" w:color="000000"/>
              <w:bottom w:val="single" w:sz="1" w:space="0" w:color="000000"/>
            </w:tcBorders>
            <w:shd w:val="clear" w:color="auto" w:fill="auto"/>
          </w:tcPr>
          <w:p w:rsidR="005951DB" w:rsidRPr="005951DB" w:rsidRDefault="005951DB" w:rsidP="005951DB">
            <w:pPr>
              <w:suppressLineNumbers/>
            </w:pPr>
            <w:r w:rsidRPr="005951DB">
              <w:t>Prevalente</w:t>
            </w:r>
          </w:p>
        </w:tc>
        <w:tc>
          <w:tcPr>
            <w:tcW w:w="1076" w:type="dxa"/>
            <w:gridSpan w:val="3"/>
            <w:tcBorders>
              <w:left w:val="single" w:sz="1" w:space="0" w:color="000000"/>
              <w:bottom w:val="single" w:sz="1" w:space="0" w:color="000000"/>
              <w:right w:val="single" w:sz="1" w:space="0" w:color="000000"/>
            </w:tcBorders>
            <w:shd w:val="clear" w:color="auto" w:fill="auto"/>
          </w:tcPr>
          <w:p w:rsidR="005951DB" w:rsidRPr="005951DB" w:rsidRDefault="005951DB" w:rsidP="005951DB">
            <w:pPr>
              <w:suppressLineNumbers/>
            </w:pPr>
            <w:r w:rsidRPr="005951DB">
              <w:t>SI   30%</w:t>
            </w:r>
          </w:p>
        </w:tc>
      </w:tr>
      <w:tr w:rsidR="005951DB" w:rsidRPr="005951DB" w:rsidTr="00E7470A">
        <w:trPr>
          <w:gridAfter w:val="1"/>
          <w:wAfter w:w="6" w:type="dxa"/>
        </w:trPr>
        <w:tc>
          <w:tcPr>
            <w:tcW w:w="2329" w:type="dxa"/>
            <w:tcBorders>
              <w:left w:val="single" w:sz="1" w:space="0" w:color="000000"/>
              <w:bottom w:val="single" w:sz="1" w:space="0" w:color="000000"/>
            </w:tcBorders>
            <w:shd w:val="clear" w:color="auto" w:fill="auto"/>
          </w:tcPr>
          <w:p w:rsidR="005951DB" w:rsidRPr="005951DB" w:rsidRDefault="005951DB" w:rsidP="005951DB">
            <w:pPr>
              <w:suppressAutoHyphens w:val="0"/>
              <w:snapToGrid w:val="0"/>
              <w:jc w:val="both"/>
              <w:rPr>
                <w:b/>
              </w:rPr>
            </w:pPr>
            <w:r w:rsidRPr="005951DB">
              <w:t>Fornitura e posa in opera di ascensori a tre fermate;</w:t>
            </w:r>
          </w:p>
        </w:tc>
        <w:tc>
          <w:tcPr>
            <w:tcW w:w="957" w:type="dxa"/>
            <w:tcBorders>
              <w:left w:val="single" w:sz="1" w:space="0" w:color="000000"/>
              <w:bottom w:val="single" w:sz="1" w:space="0" w:color="000000"/>
            </w:tcBorders>
            <w:shd w:val="clear" w:color="auto" w:fill="auto"/>
          </w:tcPr>
          <w:p w:rsidR="005951DB" w:rsidRPr="005951DB" w:rsidRDefault="005951DB" w:rsidP="005951DB">
            <w:pPr>
              <w:suppressAutoHyphens w:val="0"/>
              <w:autoSpaceDE w:val="0"/>
              <w:snapToGrid w:val="0"/>
              <w:jc w:val="center"/>
            </w:pPr>
            <w:r w:rsidRPr="005951DB">
              <w:rPr>
                <w:b/>
              </w:rPr>
              <w:t>OS4</w:t>
            </w:r>
          </w:p>
        </w:tc>
        <w:tc>
          <w:tcPr>
            <w:tcW w:w="928" w:type="dxa"/>
            <w:tcBorders>
              <w:left w:val="single" w:sz="1" w:space="0" w:color="000000"/>
              <w:bottom w:val="single" w:sz="1" w:space="0" w:color="000000"/>
            </w:tcBorders>
            <w:shd w:val="clear" w:color="auto" w:fill="auto"/>
          </w:tcPr>
          <w:p w:rsidR="005951DB" w:rsidRPr="005951DB" w:rsidRDefault="005951DB" w:rsidP="005951DB">
            <w:pPr>
              <w:snapToGrid w:val="0"/>
              <w:jc w:val="center"/>
            </w:pPr>
            <w:r w:rsidRPr="005951DB">
              <w:t xml:space="preserve">I </w:t>
            </w:r>
          </w:p>
        </w:tc>
        <w:tc>
          <w:tcPr>
            <w:tcW w:w="1300" w:type="dxa"/>
            <w:tcBorders>
              <w:left w:val="single" w:sz="1" w:space="0" w:color="000000"/>
              <w:bottom w:val="single" w:sz="1" w:space="0" w:color="000000"/>
            </w:tcBorders>
            <w:shd w:val="clear" w:color="auto" w:fill="auto"/>
          </w:tcPr>
          <w:p w:rsidR="005951DB" w:rsidRPr="005951DB" w:rsidRDefault="005951DB" w:rsidP="005951DB">
            <w:pPr>
              <w:snapToGrid w:val="0"/>
              <w:jc w:val="center"/>
            </w:pPr>
            <w:r w:rsidRPr="005951DB">
              <w:t>SI</w:t>
            </w:r>
          </w:p>
        </w:tc>
        <w:tc>
          <w:tcPr>
            <w:tcW w:w="1290" w:type="dxa"/>
            <w:tcBorders>
              <w:left w:val="single" w:sz="1" w:space="0" w:color="000000"/>
              <w:bottom w:val="single" w:sz="1" w:space="0" w:color="000000"/>
            </w:tcBorders>
            <w:shd w:val="clear" w:color="auto" w:fill="auto"/>
          </w:tcPr>
          <w:p w:rsidR="005951DB" w:rsidRPr="005951DB" w:rsidRDefault="005951DB" w:rsidP="005951DB">
            <w:pPr>
              <w:snapToGrid w:val="0"/>
              <w:jc w:val="right"/>
            </w:pPr>
            <w:r w:rsidRPr="005951DB">
              <w:rPr>
                <w:bCs/>
                <w:sz w:val="22"/>
                <w:szCs w:val="22"/>
              </w:rPr>
              <w:t xml:space="preserve">€ </w:t>
            </w:r>
            <w:r w:rsidRPr="005951DB">
              <w:t>72.750,00</w:t>
            </w:r>
          </w:p>
        </w:tc>
        <w:tc>
          <w:tcPr>
            <w:tcW w:w="667" w:type="dxa"/>
            <w:tcBorders>
              <w:left w:val="single" w:sz="1" w:space="0" w:color="000000"/>
              <w:bottom w:val="single" w:sz="1" w:space="0" w:color="000000"/>
            </w:tcBorders>
            <w:shd w:val="clear" w:color="auto" w:fill="auto"/>
          </w:tcPr>
          <w:p w:rsidR="005951DB" w:rsidRPr="005951DB" w:rsidRDefault="005951DB" w:rsidP="005951DB">
            <w:pPr>
              <w:snapToGrid w:val="0"/>
              <w:jc w:val="center"/>
            </w:pPr>
            <w:r w:rsidRPr="005951DB">
              <w:t>31,09</w:t>
            </w:r>
          </w:p>
        </w:tc>
        <w:tc>
          <w:tcPr>
            <w:tcW w:w="1143" w:type="dxa"/>
            <w:tcBorders>
              <w:left w:val="single" w:sz="1" w:space="0" w:color="000000"/>
              <w:bottom w:val="single" w:sz="1" w:space="0" w:color="000000"/>
            </w:tcBorders>
            <w:shd w:val="clear" w:color="auto" w:fill="auto"/>
          </w:tcPr>
          <w:p w:rsidR="005951DB" w:rsidRPr="005951DB" w:rsidRDefault="005951DB" w:rsidP="005951DB">
            <w:pPr>
              <w:suppressLineNumbers/>
            </w:pPr>
            <w:r w:rsidRPr="005951DB">
              <w:t>Scorporabile</w:t>
            </w:r>
          </w:p>
        </w:tc>
        <w:tc>
          <w:tcPr>
            <w:tcW w:w="1076" w:type="dxa"/>
            <w:gridSpan w:val="3"/>
            <w:tcBorders>
              <w:left w:val="single" w:sz="1" w:space="0" w:color="000000"/>
              <w:bottom w:val="single" w:sz="1" w:space="0" w:color="000000"/>
              <w:right w:val="single" w:sz="1" w:space="0" w:color="000000"/>
            </w:tcBorders>
            <w:shd w:val="clear" w:color="auto" w:fill="auto"/>
          </w:tcPr>
          <w:p w:rsidR="005951DB" w:rsidRPr="005951DB" w:rsidRDefault="005951DB" w:rsidP="005951DB">
            <w:pPr>
              <w:suppressLineNumbers/>
            </w:pPr>
            <w:r w:rsidRPr="005951DB">
              <w:t>SI   100%</w:t>
            </w:r>
          </w:p>
        </w:tc>
      </w:tr>
      <w:tr w:rsidR="005951DB" w:rsidRPr="005951DB" w:rsidTr="00E7470A">
        <w:tblPrEx>
          <w:tblCellMar>
            <w:top w:w="0" w:type="dxa"/>
            <w:left w:w="0" w:type="dxa"/>
            <w:bottom w:w="0" w:type="dxa"/>
            <w:right w:w="0" w:type="dxa"/>
          </w:tblCellMar>
        </w:tblPrEx>
        <w:trPr>
          <w:gridAfter w:val="1"/>
          <w:wAfter w:w="6" w:type="dxa"/>
        </w:trPr>
        <w:tc>
          <w:tcPr>
            <w:tcW w:w="5514" w:type="dxa"/>
            <w:gridSpan w:val="4"/>
            <w:tcBorders>
              <w:left w:val="single" w:sz="1" w:space="0" w:color="000000"/>
              <w:bottom w:val="single" w:sz="1" w:space="0" w:color="000000"/>
            </w:tcBorders>
            <w:shd w:val="clear" w:color="auto" w:fill="auto"/>
          </w:tcPr>
          <w:p w:rsidR="005951DB" w:rsidRPr="005951DB" w:rsidRDefault="005951DB" w:rsidP="005951DB">
            <w:pPr>
              <w:snapToGrid w:val="0"/>
              <w:jc w:val="right"/>
            </w:pPr>
            <w:r w:rsidRPr="005951DB">
              <w:t>Totale complessivo lavori d’appalto</w:t>
            </w:r>
          </w:p>
        </w:tc>
        <w:tc>
          <w:tcPr>
            <w:tcW w:w="1290" w:type="dxa"/>
            <w:tcBorders>
              <w:left w:val="single" w:sz="1" w:space="0" w:color="000000"/>
              <w:bottom w:val="single" w:sz="1" w:space="0" w:color="000000"/>
            </w:tcBorders>
            <w:shd w:val="clear" w:color="auto" w:fill="auto"/>
          </w:tcPr>
          <w:p w:rsidR="005951DB" w:rsidRPr="005951DB" w:rsidRDefault="005951DB" w:rsidP="005951DB">
            <w:pPr>
              <w:snapToGrid w:val="0"/>
              <w:jc w:val="right"/>
            </w:pPr>
            <w:r w:rsidRPr="005951DB">
              <w:rPr>
                <w:bCs/>
                <w:sz w:val="22"/>
                <w:szCs w:val="22"/>
              </w:rPr>
              <w:t xml:space="preserve">€ </w:t>
            </w:r>
            <w:r w:rsidRPr="005951DB">
              <w:t>234.008,05</w:t>
            </w:r>
          </w:p>
        </w:tc>
        <w:tc>
          <w:tcPr>
            <w:tcW w:w="667" w:type="dxa"/>
            <w:tcBorders>
              <w:left w:val="single" w:sz="1" w:space="0" w:color="000000"/>
              <w:bottom w:val="single" w:sz="1" w:space="0" w:color="000000"/>
            </w:tcBorders>
            <w:shd w:val="clear" w:color="auto" w:fill="auto"/>
          </w:tcPr>
          <w:p w:rsidR="005951DB" w:rsidRPr="005951DB" w:rsidRDefault="005951DB" w:rsidP="005951DB">
            <w:pPr>
              <w:snapToGrid w:val="0"/>
              <w:jc w:val="center"/>
            </w:pPr>
            <w:r w:rsidRPr="005951DB">
              <w:t>100</w:t>
            </w:r>
          </w:p>
        </w:tc>
        <w:tc>
          <w:tcPr>
            <w:tcW w:w="1143" w:type="dxa"/>
            <w:tcBorders>
              <w:left w:val="single" w:sz="1" w:space="0" w:color="000000"/>
            </w:tcBorders>
            <w:shd w:val="clear" w:color="auto" w:fill="auto"/>
          </w:tcPr>
          <w:p w:rsidR="005951DB" w:rsidRPr="005951DB" w:rsidRDefault="005951DB" w:rsidP="005951DB">
            <w:pPr>
              <w:suppressLineNumbers/>
              <w:snapToGrid w:val="0"/>
            </w:pPr>
          </w:p>
        </w:tc>
        <w:tc>
          <w:tcPr>
            <w:tcW w:w="1024" w:type="dxa"/>
            <w:shd w:val="clear" w:color="auto" w:fill="auto"/>
          </w:tcPr>
          <w:p w:rsidR="005951DB" w:rsidRPr="005951DB" w:rsidRDefault="005951DB" w:rsidP="005951DB">
            <w:pPr>
              <w:suppressLineNumbers/>
              <w:snapToGrid w:val="0"/>
            </w:pPr>
          </w:p>
        </w:tc>
        <w:tc>
          <w:tcPr>
            <w:tcW w:w="26" w:type="dxa"/>
            <w:shd w:val="clear" w:color="auto" w:fill="auto"/>
          </w:tcPr>
          <w:p w:rsidR="005951DB" w:rsidRPr="005951DB" w:rsidRDefault="005951DB" w:rsidP="005951DB">
            <w:pPr>
              <w:snapToGrid w:val="0"/>
            </w:pPr>
          </w:p>
        </w:tc>
        <w:tc>
          <w:tcPr>
            <w:tcW w:w="26" w:type="dxa"/>
            <w:shd w:val="clear" w:color="auto" w:fill="auto"/>
          </w:tcPr>
          <w:p w:rsidR="005951DB" w:rsidRPr="005951DB" w:rsidRDefault="005951DB" w:rsidP="005951DB">
            <w:pPr>
              <w:snapToGrid w:val="0"/>
            </w:pPr>
          </w:p>
        </w:tc>
      </w:tr>
    </w:tbl>
    <w:p w:rsidR="00A741B9" w:rsidRDefault="00A741B9" w:rsidP="00CE5E89">
      <w:pPr>
        <w:autoSpaceDE w:val="0"/>
        <w:autoSpaceDN w:val="0"/>
        <w:adjustRightInd w:val="0"/>
        <w:jc w:val="both"/>
        <w:rPr>
          <w:rFonts w:eastAsia="Helvetica"/>
          <w:sz w:val="22"/>
          <w:szCs w:val="22"/>
        </w:rPr>
      </w:pPr>
    </w:p>
    <w:p w:rsidR="00A741B9" w:rsidRDefault="005951DB" w:rsidP="00CE5E89">
      <w:pPr>
        <w:autoSpaceDE w:val="0"/>
        <w:autoSpaceDN w:val="0"/>
        <w:adjustRightInd w:val="0"/>
        <w:jc w:val="both"/>
        <w:rPr>
          <w:rFonts w:eastAsia="Helvetica"/>
          <w:b/>
          <w:sz w:val="22"/>
          <w:szCs w:val="22"/>
        </w:rPr>
      </w:pPr>
      <w:r w:rsidRPr="005951DB">
        <w:rPr>
          <w:rFonts w:eastAsia="Helvetica"/>
          <w:b/>
          <w:sz w:val="22"/>
          <w:szCs w:val="22"/>
        </w:rPr>
        <w:t xml:space="preserve">DEVE </w:t>
      </w:r>
      <w:r>
        <w:rPr>
          <w:rFonts w:eastAsia="Helvetica"/>
          <w:b/>
          <w:sz w:val="22"/>
          <w:szCs w:val="22"/>
        </w:rPr>
        <w:t xml:space="preserve">ESSERE </w:t>
      </w:r>
      <w:proofErr w:type="gramStart"/>
      <w:r>
        <w:rPr>
          <w:rFonts w:eastAsia="Helvetica"/>
          <w:b/>
          <w:sz w:val="22"/>
          <w:szCs w:val="22"/>
        </w:rPr>
        <w:t xml:space="preserve">MODIFICATA </w:t>
      </w:r>
      <w:r w:rsidRPr="005951DB">
        <w:rPr>
          <w:rFonts w:eastAsia="Helvetica"/>
          <w:b/>
          <w:sz w:val="22"/>
          <w:szCs w:val="22"/>
        </w:rPr>
        <w:t>:</w:t>
      </w:r>
      <w:proofErr w:type="gramEnd"/>
    </w:p>
    <w:p w:rsidR="005951DB" w:rsidRPr="005951DB" w:rsidRDefault="005951DB" w:rsidP="00CE5E89">
      <w:pPr>
        <w:autoSpaceDE w:val="0"/>
        <w:autoSpaceDN w:val="0"/>
        <w:adjustRightInd w:val="0"/>
        <w:jc w:val="both"/>
        <w:rPr>
          <w:rFonts w:eastAsia="Helvetica"/>
          <w:b/>
          <w:sz w:val="22"/>
          <w:szCs w:val="22"/>
        </w:rPr>
      </w:pPr>
    </w:p>
    <w:tbl>
      <w:tblPr>
        <w:tblW w:w="9696" w:type="dxa"/>
        <w:tblInd w:w="55" w:type="dxa"/>
        <w:tblLayout w:type="fixed"/>
        <w:tblCellMar>
          <w:top w:w="55" w:type="dxa"/>
          <w:left w:w="55" w:type="dxa"/>
          <w:bottom w:w="55" w:type="dxa"/>
          <w:right w:w="55" w:type="dxa"/>
        </w:tblCellMar>
        <w:tblLook w:val="0000" w:firstRow="0" w:lastRow="0" w:firstColumn="0" w:lastColumn="0" w:noHBand="0" w:noVBand="0"/>
      </w:tblPr>
      <w:tblGrid>
        <w:gridCol w:w="2329"/>
        <w:gridCol w:w="957"/>
        <w:gridCol w:w="928"/>
        <w:gridCol w:w="1300"/>
        <w:gridCol w:w="1290"/>
        <w:gridCol w:w="667"/>
        <w:gridCol w:w="1143"/>
        <w:gridCol w:w="1024"/>
        <w:gridCol w:w="26"/>
        <w:gridCol w:w="26"/>
        <w:gridCol w:w="6"/>
      </w:tblGrid>
      <w:tr w:rsidR="005951DB" w:rsidRPr="005951DB" w:rsidTr="00E7470A">
        <w:tc>
          <w:tcPr>
            <w:tcW w:w="9696" w:type="dxa"/>
            <w:gridSpan w:val="11"/>
            <w:tcBorders>
              <w:top w:val="single" w:sz="1" w:space="0" w:color="000000"/>
              <w:left w:val="single" w:sz="1" w:space="0" w:color="000000"/>
              <w:bottom w:val="single" w:sz="1" w:space="0" w:color="000000"/>
              <w:right w:val="single" w:sz="1" w:space="0" w:color="000000"/>
            </w:tcBorders>
            <w:shd w:val="clear" w:color="auto" w:fill="auto"/>
          </w:tcPr>
          <w:p w:rsidR="005951DB" w:rsidRPr="005951DB" w:rsidRDefault="005951DB" w:rsidP="00E7470A">
            <w:pPr>
              <w:suppressLineNumbers/>
              <w:spacing w:after="57"/>
              <w:jc w:val="both"/>
            </w:pPr>
            <w:r w:rsidRPr="005951DB">
              <w:rPr>
                <w:b/>
                <w:bCs/>
                <w:sz w:val="22"/>
                <w:szCs w:val="22"/>
              </w:rPr>
              <w:t>II.2.1)</w:t>
            </w:r>
            <w:r w:rsidRPr="005951DB">
              <w:rPr>
                <w:sz w:val="22"/>
                <w:szCs w:val="22"/>
              </w:rPr>
              <w:t xml:space="preserve">   Quantitativo o entità totale: </w:t>
            </w:r>
            <w:proofErr w:type="gramStart"/>
            <w:r w:rsidRPr="005951DB">
              <w:rPr>
                <w:b/>
                <w:bCs/>
                <w:sz w:val="22"/>
                <w:szCs w:val="22"/>
              </w:rPr>
              <w:t>€  234.008</w:t>
            </w:r>
            <w:proofErr w:type="gramEnd"/>
            <w:r w:rsidRPr="005951DB">
              <w:rPr>
                <w:b/>
                <w:bCs/>
                <w:sz w:val="22"/>
                <w:szCs w:val="22"/>
              </w:rPr>
              <w:t>,05</w:t>
            </w:r>
            <w:r w:rsidRPr="005951DB">
              <w:rPr>
                <w:sz w:val="22"/>
                <w:szCs w:val="22"/>
              </w:rPr>
              <w:t xml:space="preserve"> di cui </w:t>
            </w:r>
            <w:r w:rsidRPr="005951DB">
              <w:rPr>
                <w:b/>
                <w:bCs/>
                <w:sz w:val="22"/>
                <w:szCs w:val="22"/>
              </w:rPr>
              <w:t>€ 163.155,69</w:t>
            </w:r>
            <w:r w:rsidRPr="005951DB">
              <w:rPr>
                <w:sz w:val="22"/>
                <w:szCs w:val="22"/>
              </w:rPr>
              <w:t xml:space="preserve"> per lavori soggetti a ribasso d'asta ed </w:t>
            </w:r>
            <w:r w:rsidRPr="005951DB">
              <w:rPr>
                <w:b/>
                <w:bCs/>
                <w:sz w:val="22"/>
                <w:szCs w:val="22"/>
              </w:rPr>
              <w:t xml:space="preserve">€ 70.852,36  </w:t>
            </w:r>
            <w:r w:rsidRPr="005951DB">
              <w:rPr>
                <w:sz w:val="22"/>
                <w:szCs w:val="22"/>
              </w:rPr>
              <w:t xml:space="preserve">per oneri per l'attuazione dei piani di sicurezza e mano d’opera  non soggetti a ribasso, tutto  oltre IVA. </w:t>
            </w:r>
          </w:p>
        </w:tc>
      </w:tr>
      <w:tr w:rsidR="005951DB" w:rsidRPr="005951DB" w:rsidTr="00E7470A">
        <w:trPr>
          <w:gridAfter w:val="1"/>
          <w:wAfter w:w="6" w:type="dxa"/>
        </w:trPr>
        <w:tc>
          <w:tcPr>
            <w:tcW w:w="2329"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jc w:val="center"/>
            </w:pPr>
            <w:r w:rsidRPr="005951DB">
              <w:t>Lavorazioni</w:t>
            </w:r>
          </w:p>
        </w:tc>
        <w:tc>
          <w:tcPr>
            <w:tcW w:w="957"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jc w:val="center"/>
            </w:pPr>
            <w:r w:rsidRPr="005951DB">
              <w:t>Categoria</w:t>
            </w:r>
          </w:p>
        </w:tc>
        <w:tc>
          <w:tcPr>
            <w:tcW w:w="928"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jc w:val="center"/>
            </w:pPr>
            <w:r w:rsidRPr="005951DB">
              <w:t>Classifica</w:t>
            </w:r>
          </w:p>
        </w:tc>
        <w:tc>
          <w:tcPr>
            <w:tcW w:w="1300"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jc w:val="center"/>
            </w:pPr>
            <w:r w:rsidRPr="005951DB">
              <w:t>Qualificazione obbligatoria (sì/no)</w:t>
            </w:r>
          </w:p>
        </w:tc>
        <w:tc>
          <w:tcPr>
            <w:tcW w:w="1290"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jc w:val="center"/>
            </w:pPr>
            <w:r w:rsidRPr="005951DB">
              <w:t>Importo €</w:t>
            </w:r>
          </w:p>
        </w:tc>
        <w:tc>
          <w:tcPr>
            <w:tcW w:w="667" w:type="dxa"/>
            <w:vMerge w:val="restart"/>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jc w:val="center"/>
            </w:pPr>
            <w:r w:rsidRPr="005951DB">
              <w:t>%</w:t>
            </w:r>
          </w:p>
        </w:tc>
        <w:tc>
          <w:tcPr>
            <w:tcW w:w="2219"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5951DB" w:rsidRPr="005951DB" w:rsidRDefault="005951DB" w:rsidP="00E7470A">
            <w:pPr>
              <w:suppressLineNumbers/>
              <w:jc w:val="center"/>
            </w:pPr>
            <w:r w:rsidRPr="005951DB">
              <w:t>Indicazioni speciali ai fini della gara</w:t>
            </w:r>
          </w:p>
        </w:tc>
      </w:tr>
      <w:tr w:rsidR="005951DB" w:rsidRPr="005951DB" w:rsidTr="00E7470A">
        <w:trPr>
          <w:gridAfter w:val="1"/>
          <w:wAfter w:w="6" w:type="dxa"/>
        </w:trPr>
        <w:tc>
          <w:tcPr>
            <w:tcW w:w="2329"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snapToGrid w:val="0"/>
              <w:jc w:val="center"/>
            </w:pPr>
          </w:p>
        </w:tc>
        <w:tc>
          <w:tcPr>
            <w:tcW w:w="957"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snapToGrid w:val="0"/>
              <w:jc w:val="center"/>
            </w:pPr>
          </w:p>
        </w:tc>
        <w:tc>
          <w:tcPr>
            <w:tcW w:w="928"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snapToGrid w:val="0"/>
              <w:jc w:val="center"/>
            </w:pPr>
          </w:p>
        </w:tc>
        <w:tc>
          <w:tcPr>
            <w:tcW w:w="1300"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snapToGrid w:val="0"/>
              <w:jc w:val="center"/>
            </w:pPr>
          </w:p>
        </w:tc>
        <w:tc>
          <w:tcPr>
            <w:tcW w:w="1290"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snapToGrid w:val="0"/>
              <w:jc w:val="center"/>
            </w:pPr>
          </w:p>
        </w:tc>
        <w:tc>
          <w:tcPr>
            <w:tcW w:w="667" w:type="dxa"/>
            <w:vMerge/>
            <w:tcBorders>
              <w:top w:val="single" w:sz="1" w:space="0" w:color="000000"/>
              <w:left w:val="single" w:sz="1" w:space="0" w:color="000000"/>
              <w:bottom w:val="single" w:sz="1" w:space="0" w:color="000000"/>
            </w:tcBorders>
            <w:shd w:val="clear" w:color="auto" w:fill="auto"/>
            <w:vAlign w:val="center"/>
          </w:tcPr>
          <w:p w:rsidR="005951DB" w:rsidRPr="005951DB" w:rsidRDefault="005951DB" w:rsidP="00E7470A">
            <w:pPr>
              <w:suppressLineNumbers/>
              <w:snapToGrid w:val="0"/>
              <w:jc w:val="center"/>
            </w:pPr>
          </w:p>
        </w:tc>
        <w:tc>
          <w:tcPr>
            <w:tcW w:w="1143" w:type="dxa"/>
            <w:tcBorders>
              <w:left w:val="single" w:sz="1" w:space="0" w:color="000000"/>
              <w:bottom w:val="single" w:sz="1" w:space="0" w:color="000000"/>
            </w:tcBorders>
            <w:shd w:val="clear" w:color="auto" w:fill="auto"/>
            <w:vAlign w:val="center"/>
          </w:tcPr>
          <w:p w:rsidR="005951DB" w:rsidRPr="005951DB" w:rsidRDefault="005951DB" w:rsidP="00E7470A">
            <w:pPr>
              <w:suppressLineNumbers/>
              <w:jc w:val="center"/>
            </w:pPr>
            <w:r w:rsidRPr="005951DB">
              <w:t>Prevalente o scorporabile</w:t>
            </w:r>
          </w:p>
        </w:tc>
        <w:tc>
          <w:tcPr>
            <w:tcW w:w="1076" w:type="dxa"/>
            <w:gridSpan w:val="3"/>
            <w:tcBorders>
              <w:left w:val="single" w:sz="1" w:space="0" w:color="000000"/>
              <w:bottom w:val="single" w:sz="1" w:space="0" w:color="000000"/>
              <w:right w:val="single" w:sz="1" w:space="0" w:color="000000"/>
            </w:tcBorders>
            <w:shd w:val="clear" w:color="auto" w:fill="auto"/>
            <w:vAlign w:val="center"/>
          </w:tcPr>
          <w:p w:rsidR="005951DB" w:rsidRPr="005951DB" w:rsidRDefault="005951DB" w:rsidP="00E7470A">
            <w:pPr>
              <w:suppressLineNumbers/>
              <w:suppressAutoHyphens w:val="0"/>
              <w:jc w:val="center"/>
            </w:pPr>
            <w:r w:rsidRPr="005951DB">
              <w:t>Sub-appaltabile</w:t>
            </w:r>
          </w:p>
        </w:tc>
      </w:tr>
      <w:tr w:rsidR="005951DB" w:rsidRPr="005951DB" w:rsidTr="00E7470A">
        <w:trPr>
          <w:gridAfter w:val="1"/>
          <w:wAfter w:w="6" w:type="dxa"/>
        </w:trPr>
        <w:tc>
          <w:tcPr>
            <w:tcW w:w="2329" w:type="dxa"/>
            <w:tcBorders>
              <w:left w:val="single" w:sz="1" w:space="0" w:color="000000"/>
              <w:bottom w:val="single" w:sz="1" w:space="0" w:color="000000"/>
            </w:tcBorders>
            <w:shd w:val="clear" w:color="auto" w:fill="auto"/>
          </w:tcPr>
          <w:p w:rsidR="005951DB" w:rsidRPr="005951DB" w:rsidRDefault="005951DB" w:rsidP="00E7470A">
            <w:pPr>
              <w:widowControl w:val="0"/>
              <w:suppressAutoHyphens w:val="0"/>
              <w:adjustRightInd w:val="0"/>
              <w:spacing w:after="15" w:line="247" w:lineRule="auto"/>
              <w:ind w:left="-5" w:right="128" w:firstLine="5"/>
              <w:jc w:val="distribute"/>
              <w:rPr>
                <w:rFonts w:eastAsia="Times New Roman2" w:cs="Times New Roman2"/>
                <w:sz w:val="16"/>
                <w:lang w:eastAsia="it-IT"/>
              </w:rPr>
            </w:pPr>
            <w:r w:rsidRPr="005951DB">
              <w:rPr>
                <w:rFonts w:eastAsia="Times New Roman2" w:cs="Times New Roman2"/>
                <w:sz w:val="16"/>
                <w:lang w:eastAsia="it-IT"/>
              </w:rPr>
              <w:t xml:space="preserve"> </w:t>
            </w:r>
            <w:r w:rsidRPr="005951DB">
              <w:rPr>
                <w:rFonts w:eastAsia="Times New Roman2" w:cs="Times New Roman2"/>
                <w:b/>
                <w:sz w:val="16"/>
                <w:lang w:eastAsia="it-IT"/>
              </w:rPr>
              <w:t xml:space="preserve">L’intervento è finalizzato alla Realizzazione di impianto </w:t>
            </w:r>
            <w:proofErr w:type="gramStart"/>
            <w:r w:rsidRPr="005951DB">
              <w:rPr>
                <w:rFonts w:eastAsia="Times New Roman2" w:cs="Times New Roman2"/>
                <w:b/>
                <w:sz w:val="16"/>
                <w:lang w:eastAsia="it-IT"/>
              </w:rPr>
              <w:t>Fotovoltaico ;</w:t>
            </w:r>
            <w:proofErr w:type="gramEnd"/>
            <w:r w:rsidRPr="005951DB">
              <w:rPr>
                <w:rFonts w:eastAsia="Times New Roman2" w:cs="Times New Roman2"/>
                <w:b/>
                <w:sz w:val="16"/>
                <w:lang w:eastAsia="it-IT"/>
              </w:rPr>
              <w:t xml:space="preserve">   Tinteggiatura con intonaco e successiva verniciatura di pareti verticali - Realizzazione di sala riunioni; Ristrutturazione completa bagni;   Realizzazione impianti di allarme e citofoni;  nel  plesso scolastico  di scuola secondaria di Primo Grado Miccichè – </w:t>
            </w:r>
            <w:proofErr w:type="spellStart"/>
            <w:r w:rsidRPr="005951DB">
              <w:rPr>
                <w:rFonts w:eastAsia="Times New Roman2" w:cs="Times New Roman2"/>
                <w:b/>
                <w:sz w:val="16"/>
                <w:lang w:eastAsia="it-IT"/>
              </w:rPr>
              <w:t>Lipparini</w:t>
            </w:r>
            <w:proofErr w:type="spellEnd"/>
          </w:p>
          <w:p w:rsidR="005951DB" w:rsidRPr="005951DB" w:rsidRDefault="005951DB" w:rsidP="00E7470A">
            <w:pPr>
              <w:widowControl w:val="0"/>
              <w:suppressAutoHyphens w:val="0"/>
              <w:snapToGrid w:val="0"/>
              <w:jc w:val="both"/>
              <w:rPr>
                <w:b/>
              </w:rPr>
            </w:pPr>
          </w:p>
        </w:tc>
        <w:tc>
          <w:tcPr>
            <w:tcW w:w="957" w:type="dxa"/>
            <w:tcBorders>
              <w:left w:val="single" w:sz="1" w:space="0" w:color="000000"/>
              <w:bottom w:val="single" w:sz="1" w:space="0" w:color="000000"/>
            </w:tcBorders>
            <w:shd w:val="clear" w:color="auto" w:fill="auto"/>
          </w:tcPr>
          <w:p w:rsidR="005951DB" w:rsidRPr="005951DB" w:rsidRDefault="005951DB" w:rsidP="00E7470A">
            <w:pPr>
              <w:suppressAutoHyphens w:val="0"/>
              <w:snapToGrid w:val="0"/>
              <w:jc w:val="center"/>
              <w:rPr>
                <w:rFonts w:eastAsia="Arial Unicode MS"/>
              </w:rPr>
            </w:pPr>
            <w:r w:rsidRPr="005951DB">
              <w:rPr>
                <w:rFonts w:eastAsia="Arial Unicode MS"/>
                <w:sz w:val="24"/>
              </w:rPr>
              <w:t>OG1</w:t>
            </w:r>
            <w:r w:rsidRPr="005951DB">
              <w:rPr>
                <w:b/>
              </w:rPr>
              <w:t xml:space="preserve"> </w:t>
            </w:r>
          </w:p>
        </w:tc>
        <w:tc>
          <w:tcPr>
            <w:tcW w:w="928" w:type="dxa"/>
            <w:tcBorders>
              <w:left w:val="single" w:sz="1" w:space="0" w:color="000000"/>
              <w:bottom w:val="single" w:sz="1" w:space="0" w:color="000000"/>
            </w:tcBorders>
            <w:shd w:val="clear" w:color="auto" w:fill="auto"/>
          </w:tcPr>
          <w:p w:rsidR="005951DB" w:rsidRPr="005951DB" w:rsidRDefault="005951DB" w:rsidP="00E7470A">
            <w:pPr>
              <w:snapToGrid w:val="0"/>
              <w:jc w:val="center"/>
            </w:pPr>
            <w:r w:rsidRPr="005951DB">
              <w:t>I</w:t>
            </w:r>
          </w:p>
        </w:tc>
        <w:tc>
          <w:tcPr>
            <w:tcW w:w="1300" w:type="dxa"/>
            <w:tcBorders>
              <w:left w:val="single" w:sz="1" w:space="0" w:color="000000"/>
              <w:bottom w:val="single" w:sz="1" w:space="0" w:color="000000"/>
            </w:tcBorders>
            <w:shd w:val="clear" w:color="auto" w:fill="auto"/>
          </w:tcPr>
          <w:p w:rsidR="005951DB" w:rsidRPr="005951DB" w:rsidRDefault="005951DB" w:rsidP="00E7470A">
            <w:pPr>
              <w:snapToGrid w:val="0"/>
              <w:jc w:val="center"/>
            </w:pPr>
            <w:r>
              <w:t xml:space="preserve">SI </w:t>
            </w:r>
          </w:p>
        </w:tc>
        <w:tc>
          <w:tcPr>
            <w:tcW w:w="1290" w:type="dxa"/>
            <w:tcBorders>
              <w:left w:val="single" w:sz="1" w:space="0" w:color="000000"/>
              <w:bottom w:val="single" w:sz="1" w:space="0" w:color="000000"/>
            </w:tcBorders>
            <w:shd w:val="clear" w:color="auto" w:fill="auto"/>
          </w:tcPr>
          <w:p w:rsidR="005951DB" w:rsidRPr="005951DB" w:rsidRDefault="005951DB" w:rsidP="00E7470A">
            <w:pPr>
              <w:snapToGrid w:val="0"/>
            </w:pPr>
            <w:r w:rsidRPr="005951DB">
              <w:rPr>
                <w:bCs/>
                <w:sz w:val="22"/>
                <w:szCs w:val="22"/>
              </w:rPr>
              <w:t>€ 1</w:t>
            </w:r>
            <w:r w:rsidRPr="005951DB">
              <w:t>61.258,05</w:t>
            </w:r>
          </w:p>
        </w:tc>
        <w:tc>
          <w:tcPr>
            <w:tcW w:w="667" w:type="dxa"/>
            <w:tcBorders>
              <w:left w:val="single" w:sz="1" w:space="0" w:color="000000"/>
              <w:bottom w:val="single" w:sz="1" w:space="0" w:color="000000"/>
            </w:tcBorders>
            <w:shd w:val="clear" w:color="auto" w:fill="auto"/>
          </w:tcPr>
          <w:p w:rsidR="005951DB" w:rsidRPr="005951DB" w:rsidRDefault="005951DB" w:rsidP="00E7470A">
            <w:pPr>
              <w:snapToGrid w:val="0"/>
              <w:jc w:val="center"/>
            </w:pPr>
            <w:r w:rsidRPr="005951DB">
              <w:t>68,91</w:t>
            </w:r>
          </w:p>
        </w:tc>
        <w:tc>
          <w:tcPr>
            <w:tcW w:w="1143" w:type="dxa"/>
            <w:tcBorders>
              <w:left w:val="single" w:sz="1" w:space="0" w:color="000000"/>
              <w:bottom w:val="single" w:sz="1" w:space="0" w:color="000000"/>
            </w:tcBorders>
            <w:shd w:val="clear" w:color="auto" w:fill="auto"/>
          </w:tcPr>
          <w:p w:rsidR="005951DB" w:rsidRPr="005951DB" w:rsidRDefault="005951DB" w:rsidP="00E7470A">
            <w:pPr>
              <w:suppressLineNumbers/>
            </w:pPr>
            <w:r w:rsidRPr="005951DB">
              <w:t>Prevalente</w:t>
            </w:r>
          </w:p>
        </w:tc>
        <w:tc>
          <w:tcPr>
            <w:tcW w:w="1076" w:type="dxa"/>
            <w:gridSpan w:val="3"/>
            <w:tcBorders>
              <w:left w:val="single" w:sz="1" w:space="0" w:color="000000"/>
              <w:bottom w:val="single" w:sz="1" w:space="0" w:color="000000"/>
              <w:right w:val="single" w:sz="1" w:space="0" w:color="000000"/>
            </w:tcBorders>
            <w:shd w:val="clear" w:color="auto" w:fill="auto"/>
          </w:tcPr>
          <w:p w:rsidR="005951DB" w:rsidRPr="005951DB" w:rsidRDefault="005951DB" w:rsidP="00E7470A">
            <w:pPr>
              <w:suppressLineNumbers/>
            </w:pPr>
            <w:r w:rsidRPr="005951DB">
              <w:t>SI   30%</w:t>
            </w:r>
          </w:p>
        </w:tc>
      </w:tr>
      <w:tr w:rsidR="005951DB" w:rsidRPr="005951DB" w:rsidTr="00E7470A">
        <w:trPr>
          <w:gridAfter w:val="1"/>
          <w:wAfter w:w="6" w:type="dxa"/>
        </w:trPr>
        <w:tc>
          <w:tcPr>
            <w:tcW w:w="2329" w:type="dxa"/>
            <w:tcBorders>
              <w:left w:val="single" w:sz="1" w:space="0" w:color="000000"/>
              <w:bottom w:val="single" w:sz="1" w:space="0" w:color="000000"/>
            </w:tcBorders>
            <w:shd w:val="clear" w:color="auto" w:fill="auto"/>
          </w:tcPr>
          <w:p w:rsidR="005951DB" w:rsidRPr="005951DB" w:rsidRDefault="005951DB" w:rsidP="00E7470A">
            <w:pPr>
              <w:suppressAutoHyphens w:val="0"/>
              <w:snapToGrid w:val="0"/>
              <w:jc w:val="both"/>
              <w:rPr>
                <w:b/>
              </w:rPr>
            </w:pPr>
            <w:r w:rsidRPr="005951DB">
              <w:t>Fornitura e posa in opera di ascensori a tre fermate;</w:t>
            </w:r>
          </w:p>
        </w:tc>
        <w:tc>
          <w:tcPr>
            <w:tcW w:w="957" w:type="dxa"/>
            <w:tcBorders>
              <w:left w:val="single" w:sz="1" w:space="0" w:color="000000"/>
              <w:bottom w:val="single" w:sz="1" w:space="0" w:color="000000"/>
            </w:tcBorders>
            <w:shd w:val="clear" w:color="auto" w:fill="auto"/>
          </w:tcPr>
          <w:p w:rsidR="005951DB" w:rsidRPr="005951DB" w:rsidRDefault="005951DB" w:rsidP="00E7470A">
            <w:pPr>
              <w:suppressAutoHyphens w:val="0"/>
              <w:autoSpaceDE w:val="0"/>
              <w:snapToGrid w:val="0"/>
              <w:jc w:val="center"/>
            </w:pPr>
            <w:r w:rsidRPr="005951DB">
              <w:rPr>
                <w:b/>
              </w:rPr>
              <w:t>OS4</w:t>
            </w:r>
          </w:p>
        </w:tc>
        <w:tc>
          <w:tcPr>
            <w:tcW w:w="928" w:type="dxa"/>
            <w:tcBorders>
              <w:left w:val="single" w:sz="1" w:space="0" w:color="000000"/>
              <w:bottom w:val="single" w:sz="1" w:space="0" w:color="000000"/>
            </w:tcBorders>
            <w:shd w:val="clear" w:color="auto" w:fill="auto"/>
          </w:tcPr>
          <w:p w:rsidR="005951DB" w:rsidRPr="005951DB" w:rsidRDefault="005951DB" w:rsidP="00E7470A">
            <w:pPr>
              <w:snapToGrid w:val="0"/>
              <w:jc w:val="center"/>
            </w:pPr>
            <w:r w:rsidRPr="005951DB">
              <w:t xml:space="preserve">I </w:t>
            </w:r>
          </w:p>
        </w:tc>
        <w:tc>
          <w:tcPr>
            <w:tcW w:w="1300" w:type="dxa"/>
            <w:tcBorders>
              <w:left w:val="single" w:sz="1" w:space="0" w:color="000000"/>
              <w:bottom w:val="single" w:sz="1" w:space="0" w:color="000000"/>
            </w:tcBorders>
            <w:shd w:val="clear" w:color="auto" w:fill="auto"/>
          </w:tcPr>
          <w:p w:rsidR="005951DB" w:rsidRPr="005951DB" w:rsidRDefault="005951DB" w:rsidP="00E7470A">
            <w:pPr>
              <w:snapToGrid w:val="0"/>
              <w:jc w:val="center"/>
            </w:pPr>
            <w:r>
              <w:t>SI</w:t>
            </w:r>
          </w:p>
        </w:tc>
        <w:tc>
          <w:tcPr>
            <w:tcW w:w="1290" w:type="dxa"/>
            <w:tcBorders>
              <w:left w:val="single" w:sz="1" w:space="0" w:color="000000"/>
              <w:bottom w:val="single" w:sz="1" w:space="0" w:color="000000"/>
            </w:tcBorders>
            <w:shd w:val="clear" w:color="auto" w:fill="auto"/>
          </w:tcPr>
          <w:p w:rsidR="005951DB" w:rsidRPr="005951DB" w:rsidRDefault="005951DB" w:rsidP="00E7470A">
            <w:pPr>
              <w:snapToGrid w:val="0"/>
              <w:jc w:val="right"/>
            </w:pPr>
            <w:r w:rsidRPr="005951DB">
              <w:rPr>
                <w:bCs/>
                <w:sz w:val="22"/>
                <w:szCs w:val="22"/>
              </w:rPr>
              <w:t xml:space="preserve">€ </w:t>
            </w:r>
            <w:r w:rsidRPr="005951DB">
              <w:t>72.750,00</w:t>
            </w:r>
          </w:p>
        </w:tc>
        <w:tc>
          <w:tcPr>
            <w:tcW w:w="667" w:type="dxa"/>
            <w:tcBorders>
              <w:left w:val="single" w:sz="1" w:space="0" w:color="000000"/>
              <w:bottom w:val="single" w:sz="1" w:space="0" w:color="000000"/>
            </w:tcBorders>
            <w:shd w:val="clear" w:color="auto" w:fill="auto"/>
          </w:tcPr>
          <w:p w:rsidR="005951DB" w:rsidRPr="005951DB" w:rsidRDefault="005951DB" w:rsidP="00E7470A">
            <w:pPr>
              <w:snapToGrid w:val="0"/>
              <w:jc w:val="center"/>
            </w:pPr>
            <w:r w:rsidRPr="005951DB">
              <w:t>31,09</w:t>
            </w:r>
          </w:p>
        </w:tc>
        <w:tc>
          <w:tcPr>
            <w:tcW w:w="1143" w:type="dxa"/>
            <w:tcBorders>
              <w:left w:val="single" w:sz="1" w:space="0" w:color="000000"/>
              <w:bottom w:val="single" w:sz="1" w:space="0" w:color="000000"/>
            </w:tcBorders>
            <w:shd w:val="clear" w:color="auto" w:fill="auto"/>
          </w:tcPr>
          <w:p w:rsidR="005951DB" w:rsidRPr="005951DB" w:rsidRDefault="005951DB" w:rsidP="00E7470A">
            <w:pPr>
              <w:suppressLineNumbers/>
            </w:pPr>
            <w:r w:rsidRPr="005951DB">
              <w:t>Scorporabile</w:t>
            </w:r>
          </w:p>
        </w:tc>
        <w:tc>
          <w:tcPr>
            <w:tcW w:w="1076" w:type="dxa"/>
            <w:gridSpan w:val="3"/>
            <w:tcBorders>
              <w:left w:val="single" w:sz="1" w:space="0" w:color="000000"/>
              <w:bottom w:val="single" w:sz="1" w:space="0" w:color="000000"/>
              <w:right w:val="single" w:sz="1" w:space="0" w:color="000000"/>
            </w:tcBorders>
            <w:shd w:val="clear" w:color="auto" w:fill="auto"/>
          </w:tcPr>
          <w:p w:rsidR="005951DB" w:rsidRPr="005951DB" w:rsidRDefault="005951DB" w:rsidP="005951DB">
            <w:pPr>
              <w:suppressLineNumbers/>
            </w:pPr>
            <w:r w:rsidRPr="005951DB">
              <w:t xml:space="preserve">SI  </w:t>
            </w:r>
            <w:r>
              <w:t xml:space="preserve"> 30</w:t>
            </w:r>
            <w:r w:rsidRPr="005951DB">
              <w:t>%</w:t>
            </w:r>
          </w:p>
        </w:tc>
      </w:tr>
      <w:tr w:rsidR="005951DB" w:rsidRPr="005951DB" w:rsidTr="00E7470A">
        <w:tblPrEx>
          <w:tblCellMar>
            <w:top w:w="0" w:type="dxa"/>
            <w:left w:w="0" w:type="dxa"/>
            <w:bottom w:w="0" w:type="dxa"/>
            <w:right w:w="0" w:type="dxa"/>
          </w:tblCellMar>
        </w:tblPrEx>
        <w:trPr>
          <w:gridAfter w:val="1"/>
          <w:wAfter w:w="6" w:type="dxa"/>
        </w:trPr>
        <w:tc>
          <w:tcPr>
            <w:tcW w:w="5514" w:type="dxa"/>
            <w:gridSpan w:val="4"/>
            <w:tcBorders>
              <w:left w:val="single" w:sz="1" w:space="0" w:color="000000"/>
              <w:bottom w:val="single" w:sz="1" w:space="0" w:color="000000"/>
            </w:tcBorders>
            <w:shd w:val="clear" w:color="auto" w:fill="auto"/>
          </w:tcPr>
          <w:p w:rsidR="005951DB" w:rsidRPr="005951DB" w:rsidRDefault="005951DB" w:rsidP="00E7470A">
            <w:pPr>
              <w:snapToGrid w:val="0"/>
              <w:jc w:val="right"/>
            </w:pPr>
            <w:r w:rsidRPr="005951DB">
              <w:t>Totale complessivo lavori d’appalto</w:t>
            </w:r>
          </w:p>
        </w:tc>
        <w:tc>
          <w:tcPr>
            <w:tcW w:w="1290" w:type="dxa"/>
            <w:tcBorders>
              <w:left w:val="single" w:sz="1" w:space="0" w:color="000000"/>
              <w:bottom w:val="single" w:sz="1" w:space="0" w:color="000000"/>
            </w:tcBorders>
            <w:shd w:val="clear" w:color="auto" w:fill="auto"/>
          </w:tcPr>
          <w:p w:rsidR="005951DB" w:rsidRPr="005951DB" w:rsidRDefault="005951DB" w:rsidP="00E7470A">
            <w:pPr>
              <w:snapToGrid w:val="0"/>
              <w:jc w:val="right"/>
            </w:pPr>
            <w:r w:rsidRPr="005951DB">
              <w:rPr>
                <w:bCs/>
                <w:sz w:val="22"/>
                <w:szCs w:val="22"/>
              </w:rPr>
              <w:t xml:space="preserve">€ </w:t>
            </w:r>
            <w:r w:rsidRPr="005951DB">
              <w:t>234.008,05</w:t>
            </w:r>
          </w:p>
        </w:tc>
        <w:tc>
          <w:tcPr>
            <w:tcW w:w="667" w:type="dxa"/>
            <w:tcBorders>
              <w:left w:val="single" w:sz="1" w:space="0" w:color="000000"/>
              <w:bottom w:val="single" w:sz="1" w:space="0" w:color="000000"/>
            </w:tcBorders>
            <w:shd w:val="clear" w:color="auto" w:fill="auto"/>
          </w:tcPr>
          <w:p w:rsidR="005951DB" w:rsidRPr="005951DB" w:rsidRDefault="005951DB" w:rsidP="00E7470A">
            <w:pPr>
              <w:snapToGrid w:val="0"/>
              <w:jc w:val="center"/>
            </w:pPr>
            <w:r w:rsidRPr="005951DB">
              <w:t>100</w:t>
            </w:r>
          </w:p>
        </w:tc>
        <w:tc>
          <w:tcPr>
            <w:tcW w:w="1143" w:type="dxa"/>
            <w:tcBorders>
              <w:left w:val="single" w:sz="1" w:space="0" w:color="000000"/>
            </w:tcBorders>
            <w:shd w:val="clear" w:color="auto" w:fill="auto"/>
          </w:tcPr>
          <w:p w:rsidR="005951DB" w:rsidRPr="005951DB" w:rsidRDefault="005951DB" w:rsidP="00E7470A">
            <w:pPr>
              <w:suppressLineNumbers/>
              <w:snapToGrid w:val="0"/>
            </w:pPr>
          </w:p>
        </w:tc>
        <w:tc>
          <w:tcPr>
            <w:tcW w:w="1024" w:type="dxa"/>
            <w:shd w:val="clear" w:color="auto" w:fill="auto"/>
          </w:tcPr>
          <w:p w:rsidR="005951DB" w:rsidRPr="005951DB" w:rsidRDefault="005951DB" w:rsidP="00E7470A">
            <w:pPr>
              <w:suppressLineNumbers/>
              <w:snapToGrid w:val="0"/>
            </w:pPr>
          </w:p>
        </w:tc>
        <w:tc>
          <w:tcPr>
            <w:tcW w:w="26" w:type="dxa"/>
            <w:shd w:val="clear" w:color="auto" w:fill="auto"/>
          </w:tcPr>
          <w:p w:rsidR="005951DB" w:rsidRPr="005951DB" w:rsidRDefault="005951DB" w:rsidP="00E7470A">
            <w:pPr>
              <w:snapToGrid w:val="0"/>
            </w:pPr>
          </w:p>
        </w:tc>
        <w:tc>
          <w:tcPr>
            <w:tcW w:w="26" w:type="dxa"/>
            <w:shd w:val="clear" w:color="auto" w:fill="auto"/>
          </w:tcPr>
          <w:p w:rsidR="005951DB" w:rsidRPr="005951DB" w:rsidRDefault="005951DB" w:rsidP="00E7470A">
            <w:pPr>
              <w:snapToGrid w:val="0"/>
            </w:pPr>
          </w:p>
        </w:tc>
      </w:tr>
    </w:tbl>
    <w:p w:rsidR="00CE5E89" w:rsidRDefault="00CE5E89" w:rsidP="00CE5E89">
      <w:pPr>
        <w:autoSpaceDE w:val="0"/>
        <w:autoSpaceDN w:val="0"/>
        <w:adjustRightInd w:val="0"/>
        <w:jc w:val="both"/>
        <w:rPr>
          <w:rFonts w:ascii="Tahoma" w:hAnsi="Tahoma" w:cs="Tahoma"/>
          <w:color w:val="000000"/>
        </w:rPr>
      </w:pPr>
    </w:p>
    <w:p w:rsidR="005951DB" w:rsidRDefault="005951DB" w:rsidP="005951DB">
      <w:pPr>
        <w:autoSpaceDE w:val="0"/>
        <w:autoSpaceDN w:val="0"/>
        <w:adjustRightInd w:val="0"/>
        <w:jc w:val="both"/>
        <w:rPr>
          <w:bCs/>
          <w:sz w:val="28"/>
          <w:szCs w:val="28"/>
        </w:rPr>
      </w:pPr>
      <w:r w:rsidRPr="005951DB">
        <w:rPr>
          <w:bCs/>
          <w:sz w:val="28"/>
          <w:szCs w:val="28"/>
        </w:rPr>
        <w:t xml:space="preserve">Il punto del Bando di </w:t>
      </w:r>
      <w:proofErr w:type="gramStart"/>
      <w:r w:rsidRPr="005951DB">
        <w:rPr>
          <w:bCs/>
          <w:sz w:val="28"/>
          <w:szCs w:val="28"/>
        </w:rPr>
        <w:t>Gara :</w:t>
      </w:r>
      <w:proofErr w:type="gramEnd"/>
      <w:r w:rsidRPr="005951DB">
        <w:rPr>
          <w:bCs/>
          <w:sz w:val="28"/>
          <w:szCs w:val="28"/>
        </w:rPr>
        <w:t xml:space="preserve"> sezione III.1.1) pag. 4: Cauzioni e garanzie richieste</w:t>
      </w:r>
      <w:r>
        <w:rPr>
          <w:bCs/>
          <w:sz w:val="28"/>
          <w:szCs w:val="28"/>
        </w:rPr>
        <w:t xml:space="preserve"> e </w:t>
      </w:r>
    </w:p>
    <w:p w:rsidR="005951DB" w:rsidRPr="005951DB" w:rsidRDefault="005951DB" w:rsidP="005951DB">
      <w:pPr>
        <w:autoSpaceDE w:val="0"/>
        <w:autoSpaceDN w:val="0"/>
        <w:adjustRightInd w:val="0"/>
        <w:jc w:val="both"/>
        <w:rPr>
          <w:bCs/>
          <w:sz w:val="28"/>
          <w:szCs w:val="28"/>
        </w:rPr>
      </w:pPr>
      <w:r>
        <w:rPr>
          <w:bCs/>
          <w:sz w:val="28"/>
          <w:szCs w:val="28"/>
        </w:rPr>
        <w:t xml:space="preserve">Punto 7 </w:t>
      </w:r>
      <w:proofErr w:type="gramStart"/>
      <w:r>
        <w:rPr>
          <w:bCs/>
          <w:sz w:val="28"/>
          <w:szCs w:val="28"/>
        </w:rPr>
        <w:t>del  DISCIPLINARE</w:t>
      </w:r>
      <w:proofErr w:type="gramEnd"/>
      <w:r>
        <w:rPr>
          <w:bCs/>
          <w:sz w:val="28"/>
          <w:szCs w:val="28"/>
        </w:rPr>
        <w:t xml:space="preserve"> DI GARA pag. 5 :</w:t>
      </w:r>
    </w:p>
    <w:p w:rsidR="005951DB" w:rsidRPr="005951DB" w:rsidRDefault="005951DB" w:rsidP="005951DB">
      <w:pPr>
        <w:autoSpaceDE w:val="0"/>
        <w:autoSpaceDN w:val="0"/>
        <w:adjustRightInd w:val="0"/>
        <w:jc w:val="both"/>
        <w:rPr>
          <w:bCs/>
          <w:sz w:val="24"/>
          <w:szCs w:val="24"/>
        </w:rPr>
      </w:pPr>
    </w:p>
    <w:p w:rsidR="005951DB" w:rsidRPr="007C1B97" w:rsidRDefault="005951DB" w:rsidP="005951DB">
      <w:pPr>
        <w:widowControl w:val="0"/>
        <w:tabs>
          <w:tab w:val="left" w:pos="544"/>
        </w:tabs>
        <w:spacing w:after="57" w:line="200" w:lineRule="atLeast"/>
        <w:ind w:left="57" w:right="57"/>
        <w:jc w:val="both"/>
        <w:rPr>
          <w:rFonts w:eastAsia="Helvetica"/>
          <w:sz w:val="22"/>
          <w:szCs w:val="22"/>
        </w:rPr>
      </w:pPr>
      <w:r w:rsidRPr="00F955CA">
        <w:rPr>
          <w:rFonts w:ascii="Tahoma" w:hAnsi="Tahoma" w:cs="Tahoma"/>
          <w:color w:val="000000"/>
        </w:rPr>
        <w:t xml:space="preserve">  </w:t>
      </w:r>
      <w:r w:rsidRPr="007C1B97">
        <w:rPr>
          <w:b/>
          <w:bCs/>
          <w:sz w:val="22"/>
          <w:szCs w:val="22"/>
        </w:rPr>
        <w:t xml:space="preserve">III.1.1) Cauzioni e garanzie </w:t>
      </w:r>
      <w:proofErr w:type="gramStart"/>
      <w:r w:rsidRPr="007C1B97">
        <w:rPr>
          <w:b/>
          <w:bCs/>
          <w:sz w:val="22"/>
          <w:szCs w:val="22"/>
        </w:rPr>
        <w:t xml:space="preserve">richieste:  </w:t>
      </w:r>
      <w:r w:rsidRPr="007C1B97">
        <w:rPr>
          <w:rFonts w:eastAsia="Helvetica"/>
          <w:sz w:val="22"/>
          <w:szCs w:val="22"/>
        </w:rPr>
        <w:t>L’offerta</w:t>
      </w:r>
      <w:proofErr w:type="gramEnd"/>
      <w:r w:rsidRPr="007C1B97">
        <w:rPr>
          <w:rFonts w:eastAsia="Helvetica"/>
          <w:sz w:val="22"/>
          <w:szCs w:val="22"/>
        </w:rPr>
        <w:t xml:space="preserve"> del concorrente deve essere corredata da una garanzia di </w:t>
      </w:r>
      <w:r w:rsidRPr="007C1B97">
        <w:rPr>
          <w:rFonts w:eastAsia="Helvetica-Bold"/>
          <w:b/>
          <w:bCs/>
          <w:sz w:val="22"/>
          <w:szCs w:val="22"/>
        </w:rPr>
        <w:t>€ 4.680,16</w:t>
      </w:r>
      <w:r w:rsidRPr="007C1B97">
        <w:rPr>
          <w:rFonts w:eastAsia="Helvetica-Bold"/>
          <w:sz w:val="22"/>
          <w:szCs w:val="22"/>
        </w:rPr>
        <w:t xml:space="preserve">, </w:t>
      </w:r>
      <w:r w:rsidRPr="007C1B97">
        <w:rPr>
          <w:rFonts w:eastAsia="Helvetica"/>
          <w:sz w:val="22"/>
          <w:szCs w:val="22"/>
        </w:rPr>
        <w:t xml:space="preserve">pari al 2% dell’importo complessivo dell’appalto, costituita, ai sensi dell’art.75 del “ </w:t>
      </w:r>
      <w:r w:rsidRPr="007C1B97">
        <w:rPr>
          <w:rFonts w:eastAsia="Helvetica-Oblique"/>
          <w:i/>
          <w:iCs/>
          <w:sz w:val="22"/>
          <w:szCs w:val="22"/>
        </w:rPr>
        <w:t xml:space="preserve">Codice dei </w:t>
      </w:r>
      <w:r w:rsidRPr="007C1B97">
        <w:rPr>
          <w:rFonts w:eastAsia="Helvetica-Oblique"/>
          <w:i/>
          <w:iCs/>
          <w:sz w:val="22"/>
          <w:szCs w:val="22"/>
        </w:rPr>
        <w:lastRenderedPageBreak/>
        <w:t>Contratti</w:t>
      </w:r>
      <w:r w:rsidRPr="007C1B97">
        <w:rPr>
          <w:rFonts w:eastAsia="Helvetica"/>
          <w:sz w:val="22"/>
          <w:szCs w:val="22"/>
        </w:rPr>
        <w:t xml:space="preserve">”, sotto forma di cauzione o fidejussione. </w:t>
      </w:r>
    </w:p>
    <w:p w:rsidR="005951DB" w:rsidRPr="007C1B97" w:rsidRDefault="005951DB" w:rsidP="005951DB">
      <w:pPr>
        <w:widowControl w:val="0"/>
        <w:tabs>
          <w:tab w:val="left" w:pos="544"/>
        </w:tabs>
        <w:spacing w:after="57" w:line="200" w:lineRule="atLeast"/>
        <w:ind w:left="57" w:right="57"/>
        <w:jc w:val="both"/>
        <w:rPr>
          <w:rFonts w:eastAsia="Helvetica"/>
          <w:sz w:val="22"/>
          <w:szCs w:val="22"/>
        </w:rPr>
      </w:pPr>
      <w:r w:rsidRPr="007C1B97">
        <w:rPr>
          <w:rFonts w:eastAsia="Helvetica"/>
          <w:sz w:val="22"/>
          <w:szCs w:val="22"/>
        </w:rPr>
        <w:t>La cauzione può essere costituita, a scelta dell’offerente, in contanti o in titoli del debito pubblico garantiti dallo Stato al corso del deposito, presso una sezione di tesoreria provinciale o presso le aziende autorizzate, a titolo di pegno a favore dell’amministrazione aggiudicatrice.</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La fideiussione, a scelta dell’offerente, può essere bancaria o assicurativa o rilasciata dagli intermediari finanziari iscritti nell’elenco speciale di cui all’articolo 107 del decreto legislativo 1°</w:t>
      </w:r>
      <w:proofErr w:type="gramStart"/>
      <w:r w:rsidRPr="007C1B97">
        <w:rPr>
          <w:rFonts w:eastAsia="Helvetica"/>
          <w:sz w:val="22"/>
          <w:szCs w:val="22"/>
        </w:rPr>
        <w:t>Settembre ,</w:t>
      </w:r>
      <w:proofErr w:type="gramEnd"/>
      <w:r w:rsidRPr="007C1B97">
        <w:rPr>
          <w:rFonts w:eastAsia="Helvetica"/>
          <w:sz w:val="22"/>
          <w:szCs w:val="22"/>
        </w:rPr>
        <w:t xml:space="preserve"> n.385, che svolgono in via esclusiva o prevalente attività di rilascio di garanzie e che sono sottoposti a revisione contabile da parte di una società di revisione iscritta nell’albo previsto dall’articolo 161 del decreto legislativo 24 Febbraio 1998, n.58</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La garanzia deve prevedere espressamente la rinuncia al beneficio della preventiva escussione del debitore principale, la rinuncia all’eccezione di cui all’art.1957, comma 2, del codice civile, nonché l’operatività della garanzia medesima entro quindici giorni, a semplice richiesta scritta della stazione appaltante; avere validità almeno pari alla validità dell’offerta (giorni 90) e deve essere stipulata esclusivamente per la gara alla quale è riferita.</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 xml:space="preserve">Inoltre la garanzia (cauzione o fideiussione) provvisoria deve contenere l’impegno di un fideiussore a rilasciare in caso di aggiudicazione dell’appalto, a richiesta del concorrente, la garanzia fideiussoria per l’esecuzione del contratto di cui all’articolo 113 del </w:t>
      </w:r>
      <w:proofErr w:type="spellStart"/>
      <w:r w:rsidRPr="007C1B97">
        <w:rPr>
          <w:rFonts w:eastAsia="Helvetica"/>
          <w:sz w:val="22"/>
          <w:szCs w:val="22"/>
        </w:rPr>
        <w:t>D.Lgs.</w:t>
      </w:r>
      <w:proofErr w:type="spellEnd"/>
      <w:r w:rsidRPr="007C1B97">
        <w:rPr>
          <w:rFonts w:eastAsia="Helvetica"/>
          <w:sz w:val="22"/>
          <w:szCs w:val="22"/>
        </w:rPr>
        <w:t xml:space="preserve"> 163/2006, valida fino al collaudo dei lavori.</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A norma dell’articolo 40, comma 7, del “</w:t>
      </w:r>
      <w:r w:rsidRPr="007C1B97">
        <w:rPr>
          <w:rFonts w:eastAsia="Helvetica-Oblique"/>
          <w:i/>
          <w:iCs/>
          <w:sz w:val="22"/>
          <w:szCs w:val="22"/>
        </w:rPr>
        <w:t>Codice dei Contratti</w:t>
      </w:r>
      <w:r w:rsidRPr="007C1B97">
        <w:rPr>
          <w:rFonts w:eastAsia="Helvetica"/>
          <w:sz w:val="22"/>
          <w:szCs w:val="22"/>
        </w:rPr>
        <w:t xml:space="preserve">” la cauzione provvisoria è ridotta del 50% per le Imprese alle quali venga rilasciata da organismi </w:t>
      </w:r>
      <w:proofErr w:type="gramStart"/>
      <w:r w:rsidRPr="007C1B97">
        <w:rPr>
          <w:rFonts w:eastAsia="Helvetica"/>
          <w:sz w:val="22"/>
          <w:szCs w:val="22"/>
        </w:rPr>
        <w:t>accreditati ,</w:t>
      </w:r>
      <w:proofErr w:type="gramEnd"/>
      <w:r w:rsidRPr="007C1B97">
        <w:rPr>
          <w:rFonts w:eastAsia="Helvetica"/>
          <w:sz w:val="22"/>
          <w:szCs w:val="22"/>
        </w:rPr>
        <w:t xml:space="preserve"> ai sensi delle norme europee della serie UNI CEI en 45000 e della serie UNI CEI EN ISO/IEC 17000, la certificazione del sistema di qualità conforme alle norme europee della serie UNI CEI ISO 9000. In tal caso deve essere prodotta la relativa certificazione.</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I contratti fideiussori ed assicurativi devono essere conformi allo schema di polizza tipo approvato dal Ministero delle Attività produttive con Decreto 12/03/2004 n.123.</w:t>
      </w:r>
    </w:p>
    <w:p w:rsidR="005951DB" w:rsidRPr="007C1B97" w:rsidRDefault="005951DB" w:rsidP="005951DB">
      <w:pPr>
        <w:autoSpaceDE w:val="0"/>
        <w:spacing w:after="57"/>
        <w:jc w:val="both"/>
        <w:rPr>
          <w:rFonts w:eastAsia="Helvetica-Bold"/>
          <w:b/>
          <w:bCs/>
          <w:sz w:val="22"/>
          <w:szCs w:val="22"/>
        </w:rPr>
      </w:pPr>
      <w:r w:rsidRPr="007C1B97">
        <w:rPr>
          <w:rFonts w:eastAsia="Helvetica"/>
          <w:sz w:val="22"/>
          <w:szCs w:val="22"/>
        </w:rPr>
        <w:t>Nel caso di concorrente costituito da associazione temporanea o consorzio non ancora costituito, la garanzia (</w:t>
      </w:r>
      <w:r w:rsidRPr="007C1B97">
        <w:rPr>
          <w:rFonts w:eastAsia="Helvetica-Oblique"/>
          <w:i/>
          <w:iCs/>
          <w:sz w:val="22"/>
          <w:szCs w:val="22"/>
        </w:rPr>
        <w:t>fideiussione o cauzione</w:t>
      </w:r>
      <w:r w:rsidRPr="007C1B97">
        <w:rPr>
          <w:rFonts w:eastAsia="Helvetica"/>
          <w:sz w:val="22"/>
          <w:szCs w:val="22"/>
        </w:rPr>
        <w:t>) deve essere intestata a tutti i soggetti che costituiranno la predetta associazione o consorzio e firmata almeno dall’impresa designata capogruppo.</w:t>
      </w:r>
    </w:p>
    <w:p w:rsidR="005951DB" w:rsidRPr="007C1B97" w:rsidRDefault="005951DB" w:rsidP="005951DB">
      <w:pPr>
        <w:autoSpaceDE w:val="0"/>
        <w:spacing w:after="57"/>
        <w:jc w:val="both"/>
        <w:rPr>
          <w:rFonts w:eastAsia="Helvetica"/>
          <w:sz w:val="22"/>
          <w:szCs w:val="22"/>
        </w:rPr>
      </w:pPr>
      <w:r w:rsidRPr="007C1B97">
        <w:rPr>
          <w:rFonts w:eastAsia="Helvetica-Bold"/>
          <w:b/>
          <w:bCs/>
          <w:sz w:val="22"/>
          <w:szCs w:val="22"/>
        </w:rPr>
        <w:t>Attenzione: La cauzione provvisoria deve contenere la clausola relativa alla garanzia dell’eventuale versamento della sanzione pecuniaria di € 1.647,</w:t>
      </w:r>
      <w:proofErr w:type="gramStart"/>
      <w:r w:rsidRPr="007C1B97">
        <w:rPr>
          <w:rFonts w:eastAsia="Helvetica-Bold"/>
          <w:b/>
          <w:bCs/>
          <w:sz w:val="22"/>
          <w:szCs w:val="22"/>
        </w:rPr>
        <w:t>86  (</w:t>
      </w:r>
      <w:proofErr w:type="gramEnd"/>
      <w:r w:rsidRPr="007C1B97">
        <w:rPr>
          <w:rFonts w:eastAsia="Helvetica-BoldOblique"/>
          <w:b/>
          <w:bCs/>
          <w:i/>
          <w:iCs/>
          <w:sz w:val="22"/>
          <w:szCs w:val="22"/>
        </w:rPr>
        <w:t>pari all'uno per mille dell’importo dei lavori</w:t>
      </w:r>
      <w:r w:rsidRPr="007C1B97">
        <w:rPr>
          <w:rFonts w:eastAsia="Helvetica-Bold"/>
          <w:b/>
          <w:bCs/>
          <w:sz w:val="22"/>
          <w:szCs w:val="22"/>
        </w:rPr>
        <w:t>), prevista dall’art. 38 comma 2-bis del codice dei contratti.</w:t>
      </w:r>
    </w:p>
    <w:p w:rsidR="005951DB" w:rsidRPr="007C1B97" w:rsidRDefault="005951DB" w:rsidP="005951DB">
      <w:pPr>
        <w:autoSpaceDE w:val="0"/>
        <w:jc w:val="both"/>
        <w:rPr>
          <w:rFonts w:eastAsia="Helvetica"/>
          <w:sz w:val="22"/>
          <w:szCs w:val="22"/>
        </w:rPr>
      </w:pPr>
      <w:r w:rsidRPr="007C1B97">
        <w:rPr>
          <w:rFonts w:eastAsia="Helvetica"/>
          <w:sz w:val="22"/>
          <w:szCs w:val="22"/>
        </w:rPr>
        <w:t>L’aggiudicatario deve presentare cauzione definitiva nella misura di cui all’art.113 del “</w:t>
      </w:r>
      <w:r w:rsidRPr="007C1B97">
        <w:rPr>
          <w:rFonts w:eastAsia="Helvetica-Oblique"/>
          <w:i/>
          <w:iCs/>
          <w:sz w:val="22"/>
          <w:szCs w:val="22"/>
        </w:rPr>
        <w:t>Codice dei Contratti</w:t>
      </w:r>
      <w:r w:rsidRPr="007C1B97">
        <w:rPr>
          <w:rFonts w:eastAsia="Helvetica"/>
          <w:sz w:val="22"/>
          <w:szCs w:val="22"/>
        </w:rPr>
        <w:t xml:space="preserve">” e nei modi previsti dall’art.75 dello stesso </w:t>
      </w:r>
      <w:proofErr w:type="gramStart"/>
      <w:r w:rsidRPr="007C1B97">
        <w:rPr>
          <w:rFonts w:eastAsia="Helvetica"/>
          <w:sz w:val="22"/>
          <w:szCs w:val="22"/>
        </w:rPr>
        <w:t xml:space="preserve">“ </w:t>
      </w:r>
      <w:proofErr w:type="spellStart"/>
      <w:r w:rsidRPr="007C1B97">
        <w:rPr>
          <w:rFonts w:eastAsia="Helvetica-Oblique"/>
          <w:i/>
          <w:iCs/>
          <w:sz w:val="22"/>
          <w:szCs w:val="22"/>
        </w:rPr>
        <w:t>Codice</w:t>
      </w:r>
      <w:proofErr w:type="gramEnd"/>
      <w:r w:rsidRPr="007C1B97">
        <w:rPr>
          <w:rFonts w:eastAsia="Helvetica-Oblique"/>
          <w:i/>
          <w:iCs/>
          <w:sz w:val="22"/>
          <w:szCs w:val="22"/>
        </w:rPr>
        <w:t>”</w:t>
      </w:r>
      <w:r w:rsidRPr="007C1B97">
        <w:rPr>
          <w:rFonts w:eastAsia="Helvetica"/>
          <w:sz w:val="22"/>
          <w:szCs w:val="22"/>
        </w:rPr>
        <w:t>e</w:t>
      </w:r>
      <w:proofErr w:type="spellEnd"/>
      <w:r w:rsidRPr="007C1B97">
        <w:rPr>
          <w:rFonts w:eastAsia="Helvetica"/>
          <w:sz w:val="22"/>
          <w:szCs w:val="22"/>
        </w:rPr>
        <w:t xml:space="preserve"> dell’art.123 del “ </w:t>
      </w:r>
      <w:r w:rsidRPr="007C1B97">
        <w:rPr>
          <w:rFonts w:eastAsia="Helvetica-Oblique"/>
          <w:i/>
          <w:iCs/>
          <w:sz w:val="22"/>
          <w:szCs w:val="22"/>
        </w:rPr>
        <w:t>Regolamento</w:t>
      </w:r>
      <w:r w:rsidRPr="007C1B97">
        <w:rPr>
          <w:rFonts w:eastAsia="Helvetica"/>
          <w:sz w:val="22"/>
          <w:szCs w:val="22"/>
        </w:rPr>
        <w:t>”.</w:t>
      </w:r>
    </w:p>
    <w:p w:rsidR="005951DB" w:rsidRDefault="005951DB" w:rsidP="005951DB">
      <w:pPr>
        <w:autoSpaceDE w:val="0"/>
        <w:autoSpaceDN w:val="0"/>
        <w:adjustRightInd w:val="0"/>
        <w:jc w:val="both"/>
        <w:rPr>
          <w:rFonts w:eastAsia="Helvetica"/>
          <w:sz w:val="22"/>
          <w:szCs w:val="22"/>
        </w:rPr>
      </w:pPr>
      <w:r w:rsidRPr="007C1B97">
        <w:rPr>
          <w:rFonts w:eastAsia="Helvetica"/>
          <w:sz w:val="22"/>
          <w:szCs w:val="22"/>
        </w:rPr>
        <w:t xml:space="preserve">L’aggiudicatario deve prestare, altresì, la garanzia di cui all’art. 129 comma 1 del </w:t>
      </w:r>
      <w:proofErr w:type="gramStart"/>
      <w:r w:rsidRPr="007C1B97">
        <w:rPr>
          <w:rFonts w:eastAsia="Helvetica"/>
          <w:sz w:val="22"/>
          <w:szCs w:val="22"/>
        </w:rPr>
        <w:t>“ Codice</w:t>
      </w:r>
      <w:proofErr w:type="gramEnd"/>
      <w:r w:rsidRPr="007C1B97">
        <w:rPr>
          <w:rFonts w:eastAsia="Helvetica"/>
          <w:sz w:val="22"/>
          <w:szCs w:val="22"/>
        </w:rPr>
        <w:t>” e dell’art. 125 del “ Regolamento” con le modalità e per gli importi previsti dal Capitolato Speciale d’appalto.</w:t>
      </w:r>
    </w:p>
    <w:p w:rsidR="005951DB" w:rsidRDefault="005951DB" w:rsidP="005951DB">
      <w:pPr>
        <w:autoSpaceDE w:val="0"/>
        <w:autoSpaceDN w:val="0"/>
        <w:adjustRightInd w:val="0"/>
        <w:jc w:val="both"/>
        <w:rPr>
          <w:rFonts w:eastAsia="Helvetica"/>
          <w:sz w:val="22"/>
          <w:szCs w:val="22"/>
        </w:rPr>
      </w:pPr>
    </w:p>
    <w:p w:rsidR="005951DB" w:rsidRPr="005951DB" w:rsidRDefault="005951DB" w:rsidP="005951DB">
      <w:pPr>
        <w:autoSpaceDE w:val="0"/>
        <w:autoSpaceDN w:val="0"/>
        <w:adjustRightInd w:val="0"/>
        <w:jc w:val="both"/>
        <w:rPr>
          <w:b/>
          <w:color w:val="000000"/>
          <w:sz w:val="28"/>
          <w:szCs w:val="28"/>
        </w:rPr>
      </w:pPr>
      <w:r w:rsidRPr="005951DB">
        <w:rPr>
          <w:b/>
          <w:color w:val="000000"/>
          <w:sz w:val="28"/>
          <w:szCs w:val="28"/>
        </w:rPr>
        <w:t xml:space="preserve"> </w:t>
      </w:r>
      <w:proofErr w:type="gramStart"/>
      <w:r w:rsidRPr="005951DB">
        <w:rPr>
          <w:b/>
          <w:color w:val="000000"/>
          <w:sz w:val="28"/>
          <w:szCs w:val="28"/>
        </w:rPr>
        <w:t>deve</w:t>
      </w:r>
      <w:proofErr w:type="gramEnd"/>
      <w:r w:rsidRPr="005951DB">
        <w:rPr>
          <w:b/>
          <w:color w:val="000000"/>
          <w:sz w:val="28"/>
          <w:szCs w:val="28"/>
        </w:rPr>
        <w:t xml:space="preserve"> essere modificato : </w:t>
      </w:r>
    </w:p>
    <w:p w:rsidR="005951DB" w:rsidRPr="005951DB" w:rsidRDefault="005951DB" w:rsidP="005951DB">
      <w:pPr>
        <w:autoSpaceDE w:val="0"/>
        <w:autoSpaceDN w:val="0"/>
        <w:adjustRightInd w:val="0"/>
        <w:jc w:val="both"/>
        <w:rPr>
          <w:color w:val="000000"/>
          <w:sz w:val="28"/>
          <w:szCs w:val="28"/>
        </w:rPr>
      </w:pPr>
    </w:p>
    <w:p w:rsidR="005951DB" w:rsidRPr="007C1B97" w:rsidRDefault="005951DB" w:rsidP="005951DB">
      <w:pPr>
        <w:widowControl w:val="0"/>
        <w:tabs>
          <w:tab w:val="left" w:pos="544"/>
        </w:tabs>
        <w:spacing w:after="57" w:line="200" w:lineRule="atLeast"/>
        <w:ind w:left="57" w:right="57"/>
        <w:jc w:val="both"/>
        <w:rPr>
          <w:rFonts w:eastAsia="Helvetica"/>
          <w:sz w:val="22"/>
          <w:szCs w:val="22"/>
        </w:rPr>
      </w:pPr>
      <w:r w:rsidRPr="00F955CA">
        <w:rPr>
          <w:rFonts w:ascii="Tahoma" w:hAnsi="Tahoma" w:cs="Tahoma"/>
          <w:color w:val="000000"/>
        </w:rPr>
        <w:t xml:space="preserve">  </w:t>
      </w:r>
      <w:r w:rsidRPr="007C1B97">
        <w:rPr>
          <w:b/>
          <w:bCs/>
          <w:sz w:val="22"/>
          <w:szCs w:val="22"/>
        </w:rPr>
        <w:t xml:space="preserve">III.1.1) Cauzioni e garanzie </w:t>
      </w:r>
      <w:proofErr w:type="gramStart"/>
      <w:r w:rsidRPr="007C1B97">
        <w:rPr>
          <w:b/>
          <w:bCs/>
          <w:sz w:val="22"/>
          <w:szCs w:val="22"/>
        </w:rPr>
        <w:t xml:space="preserve">richieste:  </w:t>
      </w:r>
      <w:r w:rsidRPr="007C1B97">
        <w:rPr>
          <w:rFonts w:eastAsia="Helvetica"/>
          <w:sz w:val="22"/>
          <w:szCs w:val="22"/>
        </w:rPr>
        <w:t>L’offerta</w:t>
      </w:r>
      <w:proofErr w:type="gramEnd"/>
      <w:r w:rsidRPr="007C1B97">
        <w:rPr>
          <w:rFonts w:eastAsia="Helvetica"/>
          <w:sz w:val="22"/>
          <w:szCs w:val="22"/>
        </w:rPr>
        <w:t xml:space="preserve"> del concorrente deve essere corredata da una garanzia di </w:t>
      </w:r>
      <w:r w:rsidRPr="007C1B97">
        <w:rPr>
          <w:rFonts w:eastAsia="Helvetica-Bold"/>
          <w:b/>
          <w:bCs/>
          <w:sz w:val="22"/>
          <w:szCs w:val="22"/>
        </w:rPr>
        <w:t>€ 4.680,16</w:t>
      </w:r>
      <w:r w:rsidRPr="007C1B97">
        <w:rPr>
          <w:rFonts w:eastAsia="Helvetica-Bold"/>
          <w:sz w:val="22"/>
          <w:szCs w:val="22"/>
        </w:rPr>
        <w:t xml:space="preserve">, </w:t>
      </w:r>
      <w:r w:rsidRPr="007C1B97">
        <w:rPr>
          <w:rFonts w:eastAsia="Helvetica"/>
          <w:sz w:val="22"/>
          <w:szCs w:val="22"/>
        </w:rPr>
        <w:t xml:space="preserve">pari al 2% dell’importo complessivo dell’appalto, costituita, ai sensi dell’art.75 del “ </w:t>
      </w:r>
      <w:r w:rsidRPr="007C1B97">
        <w:rPr>
          <w:rFonts w:eastAsia="Helvetica-Oblique"/>
          <w:i/>
          <w:iCs/>
          <w:sz w:val="22"/>
          <w:szCs w:val="22"/>
        </w:rPr>
        <w:t>Codice dei Contratti</w:t>
      </w:r>
      <w:r w:rsidRPr="007C1B97">
        <w:rPr>
          <w:rFonts w:eastAsia="Helvetica"/>
          <w:sz w:val="22"/>
          <w:szCs w:val="22"/>
        </w:rPr>
        <w:t xml:space="preserve">”, sotto forma di cauzione o fidejussione. </w:t>
      </w:r>
    </w:p>
    <w:p w:rsidR="005951DB" w:rsidRPr="007C1B97" w:rsidRDefault="005951DB" w:rsidP="005951DB">
      <w:pPr>
        <w:widowControl w:val="0"/>
        <w:tabs>
          <w:tab w:val="left" w:pos="544"/>
        </w:tabs>
        <w:spacing w:after="57" w:line="200" w:lineRule="atLeast"/>
        <w:ind w:left="57" w:right="57"/>
        <w:jc w:val="both"/>
        <w:rPr>
          <w:rFonts w:eastAsia="Helvetica"/>
          <w:sz w:val="22"/>
          <w:szCs w:val="22"/>
        </w:rPr>
      </w:pPr>
      <w:r w:rsidRPr="007C1B97">
        <w:rPr>
          <w:rFonts w:eastAsia="Helvetica"/>
          <w:sz w:val="22"/>
          <w:szCs w:val="22"/>
        </w:rPr>
        <w:t>La cauzione può essere costituita, a scelta dell’offerente, in contanti o in titoli del debito pubblico garantiti dallo Stato al corso del deposito, presso una sezione di tesoreria provinciale o presso le aziende autorizzate, a titolo di pegno a favore dell’amministrazione aggiudicatrice.</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La fideiussione, a scelta dell’offerente, può essere bancaria o assicurativa o rilasciata dagli intermediari finanziari iscritti nell’elenco speciale di cui all’articolo 107 del decreto legislativo 1°</w:t>
      </w:r>
      <w:proofErr w:type="gramStart"/>
      <w:r w:rsidRPr="007C1B97">
        <w:rPr>
          <w:rFonts w:eastAsia="Helvetica"/>
          <w:sz w:val="22"/>
          <w:szCs w:val="22"/>
        </w:rPr>
        <w:t>Settembre ,</w:t>
      </w:r>
      <w:proofErr w:type="gramEnd"/>
      <w:r w:rsidRPr="007C1B97">
        <w:rPr>
          <w:rFonts w:eastAsia="Helvetica"/>
          <w:sz w:val="22"/>
          <w:szCs w:val="22"/>
        </w:rPr>
        <w:t xml:space="preserve"> n.385, che svolgono in via esclusiva o prevalente attività di rilascio di garanzie e che sono sottoposti a revisione contabile da parte di una società di revisione iscritta nell’albo previsto dall’articolo 161 del decreto legislativo 24 Febbraio 1998, n.58</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La garanzia deve prevedere espressamente la rinuncia al beneficio della preventiva escussione del debitore principale, la rinuncia all’eccezione di cui all’art.1957, comma 2, del codice civile, nonché l’operatività della garanzia medesima entro quindici giorni, a semplice richiesta scritta della stazione appaltante; avere validità almeno pari alla validità dell’offerta (giorni 90) e deve essere stipulata esclusivamente per la gara alla quale è riferita.</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lastRenderedPageBreak/>
        <w:t xml:space="preserve">Inoltre la garanzia (cauzione o fideiussione) provvisoria deve contenere l’impegno di un fideiussore a rilasciare in caso di aggiudicazione dell’appalto, a richiesta del concorrente, la garanzia fideiussoria per l’esecuzione del contratto di cui all’articolo 113 del </w:t>
      </w:r>
      <w:proofErr w:type="spellStart"/>
      <w:r w:rsidRPr="007C1B97">
        <w:rPr>
          <w:rFonts w:eastAsia="Helvetica"/>
          <w:sz w:val="22"/>
          <w:szCs w:val="22"/>
        </w:rPr>
        <w:t>D.Lgs.</w:t>
      </w:r>
      <w:proofErr w:type="spellEnd"/>
      <w:r w:rsidRPr="007C1B97">
        <w:rPr>
          <w:rFonts w:eastAsia="Helvetica"/>
          <w:sz w:val="22"/>
          <w:szCs w:val="22"/>
        </w:rPr>
        <w:t xml:space="preserve"> 163/2006, valida fino al collaudo dei lavori.</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A norma dell’articolo 40, comma 7, del “</w:t>
      </w:r>
      <w:r w:rsidRPr="007C1B97">
        <w:rPr>
          <w:rFonts w:eastAsia="Helvetica-Oblique"/>
          <w:i/>
          <w:iCs/>
          <w:sz w:val="22"/>
          <w:szCs w:val="22"/>
        </w:rPr>
        <w:t>Codice dei Contratti</w:t>
      </w:r>
      <w:r w:rsidRPr="007C1B97">
        <w:rPr>
          <w:rFonts w:eastAsia="Helvetica"/>
          <w:sz w:val="22"/>
          <w:szCs w:val="22"/>
        </w:rPr>
        <w:t xml:space="preserve">” la cauzione provvisoria è ridotta del 50% per le Imprese alle quali venga rilasciata da organismi </w:t>
      </w:r>
      <w:proofErr w:type="gramStart"/>
      <w:r w:rsidRPr="007C1B97">
        <w:rPr>
          <w:rFonts w:eastAsia="Helvetica"/>
          <w:sz w:val="22"/>
          <w:szCs w:val="22"/>
        </w:rPr>
        <w:t>accreditati ,</w:t>
      </w:r>
      <w:proofErr w:type="gramEnd"/>
      <w:r w:rsidRPr="007C1B97">
        <w:rPr>
          <w:rFonts w:eastAsia="Helvetica"/>
          <w:sz w:val="22"/>
          <w:szCs w:val="22"/>
        </w:rPr>
        <w:t xml:space="preserve"> ai sensi delle norme europee della serie UNI CEI en 45000 e della serie UNI CEI EN ISO/IEC 17000, la certificazione del sistema di qualità conforme alle norme europee della serie UNI CEI ISO 9000. In tal caso deve essere prodotta la relativa certificazione.</w:t>
      </w:r>
    </w:p>
    <w:p w:rsidR="005951DB" w:rsidRPr="007C1B97" w:rsidRDefault="005951DB" w:rsidP="005951DB">
      <w:pPr>
        <w:autoSpaceDE w:val="0"/>
        <w:spacing w:after="57"/>
        <w:jc w:val="both"/>
        <w:rPr>
          <w:rFonts w:eastAsia="Helvetica"/>
          <w:sz w:val="22"/>
          <w:szCs w:val="22"/>
        </w:rPr>
      </w:pPr>
      <w:r w:rsidRPr="007C1B97">
        <w:rPr>
          <w:rFonts w:eastAsia="Helvetica"/>
          <w:sz w:val="22"/>
          <w:szCs w:val="22"/>
        </w:rPr>
        <w:t>I contratti fideiussori ed assicurativi devono essere conformi allo schema di polizza tipo approvato dal Ministero delle Attività produttive con Decreto 12/03/2004 n.123.</w:t>
      </w:r>
    </w:p>
    <w:p w:rsidR="005951DB" w:rsidRPr="007C1B97" w:rsidRDefault="005951DB" w:rsidP="005951DB">
      <w:pPr>
        <w:autoSpaceDE w:val="0"/>
        <w:spacing w:after="57"/>
        <w:jc w:val="both"/>
        <w:rPr>
          <w:rFonts w:eastAsia="Helvetica-Bold"/>
          <w:b/>
          <w:bCs/>
          <w:sz w:val="22"/>
          <w:szCs w:val="22"/>
        </w:rPr>
      </w:pPr>
      <w:r w:rsidRPr="007C1B97">
        <w:rPr>
          <w:rFonts w:eastAsia="Helvetica"/>
          <w:sz w:val="22"/>
          <w:szCs w:val="22"/>
        </w:rPr>
        <w:t>Nel caso di concorrente costituito da associazione temporanea o consorzio non ancora costituito, la garanzia (</w:t>
      </w:r>
      <w:r w:rsidRPr="007C1B97">
        <w:rPr>
          <w:rFonts w:eastAsia="Helvetica-Oblique"/>
          <w:i/>
          <w:iCs/>
          <w:sz w:val="22"/>
          <w:szCs w:val="22"/>
        </w:rPr>
        <w:t>fideiussione o cauzione</w:t>
      </w:r>
      <w:r w:rsidRPr="007C1B97">
        <w:rPr>
          <w:rFonts w:eastAsia="Helvetica"/>
          <w:sz w:val="22"/>
          <w:szCs w:val="22"/>
        </w:rPr>
        <w:t>) deve essere intestata a tutti i soggetti che costituiranno la predetta associazione o consorzio e firmata almeno dall’impresa designata capogruppo.</w:t>
      </w:r>
    </w:p>
    <w:p w:rsidR="005951DB" w:rsidRPr="00792225" w:rsidRDefault="005951DB" w:rsidP="005951DB">
      <w:pPr>
        <w:autoSpaceDE w:val="0"/>
        <w:spacing w:after="57"/>
        <w:jc w:val="both"/>
        <w:rPr>
          <w:rFonts w:eastAsia="Helvetica"/>
          <w:sz w:val="22"/>
          <w:szCs w:val="22"/>
          <w:u w:val="single"/>
        </w:rPr>
      </w:pPr>
      <w:r w:rsidRPr="00792225">
        <w:rPr>
          <w:rFonts w:eastAsia="Helvetica-Bold"/>
          <w:b/>
          <w:bCs/>
          <w:sz w:val="22"/>
          <w:szCs w:val="22"/>
          <w:u w:val="single"/>
        </w:rPr>
        <w:t>Attenzione: La cauzione provvisoria deve contenere la clausola relativa alla garanzia dell’eventuale versamento della sanzione pecuniaria di € 234,</w:t>
      </w:r>
      <w:proofErr w:type="gramStart"/>
      <w:r w:rsidRPr="00792225">
        <w:rPr>
          <w:rFonts w:eastAsia="Helvetica-Bold"/>
          <w:b/>
          <w:bCs/>
          <w:sz w:val="22"/>
          <w:szCs w:val="22"/>
          <w:u w:val="single"/>
        </w:rPr>
        <w:t>08  (</w:t>
      </w:r>
      <w:proofErr w:type="gramEnd"/>
      <w:r w:rsidRPr="00792225">
        <w:rPr>
          <w:rFonts w:eastAsia="Helvetica-BoldOblique"/>
          <w:b/>
          <w:bCs/>
          <w:i/>
          <w:iCs/>
          <w:sz w:val="22"/>
          <w:szCs w:val="22"/>
          <w:u w:val="single"/>
        </w:rPr>
        <w:t>pari all'uno per mille dell’importo dei lavori</w:t>
      </w:r>
      <w:r w:rsidRPr="00792225">
        <w:rPr>
          <w:rFonts w:eastAsia="Helvetica-Bold"/>
          <w:b/>
          <w:bCs/>
          <w:sz w:val="22"/>
          <w:szCs w:val="22"/>
          <w:u w:val="single"/>
        </w:rPr>
        <w:t>), prevista dall’art. 38 comma 2-bis del codice dei contratti.</w:t>
      </w:r>
      <w:r>
        <w:rPr>
          <w:rFonts w:eastAsia="Helvetica-Bold"/>
          <w:b/>
          <w:bCs/>
          <w:sz w:val="22"/>
          <w:szCs w:val="22"/>
          <w:u w:val="single"/>
        </w:rPr>
        <w:t xml:space="preserve">  </w:t>
      </w:r>
    </w:p>
    <w:p w:rsidR="005951DB" w:rsidRPr="007C1B97" w:rsidRDefault="005951DB" w:rsidP="005951DB">
      <w:pPr>
        <w:autoSpaceDE w:val="0"/>
        <w:jc w:val="both"/>
        <w:rPr>
          <w:rFonts w:eastAsia="Helvetica"/>
          <w:sz w:val="22"/>
          <w:szCs w:val="22"/>
        </w:rPr>
      </w:pPr>
      <w:r w:rsidRPr="007C1B97">
        <w:rPr>
          <w:rFonts w:eastAsia="Helvetica"/>
          <w:sz w:val="22"/>
          <w:szCs w:val="22"/>
        </w:rPr>
        <w:t>L’aggiudicatario deve presentare cauzione definitiva nella misura di cui all’art.113 del “</w:t>
      </w:r>
      <w:r w:rsidRPr="007C1B97">
        <w:rPr>
          <w:rFonts w:eastAsia="Helvetica-Oblique"/>
          <w:i/>
          <w:iCs/>
          <w:sz w:val="22"/>
          <w:szCs w:val="22"/>
        </w:rPr>
        <w:t>Codice dei Contratti</w:t>
      </w:r>
      <w:r w:rsidRPr="007C1B97">
        <w:rPr>
          <w:rFonts w:eastAsia="Helvetica"/>
          <w:sz w:val="22"/>
          <w:szCs w:val="22"/>
        </w:rPr>
        <w:t xml:space="preserve">” e nei modi previsti dall’art.75 dello stesso </w:t>
      </w:r>
      <w:proofErr w:type="gramStart"/>
      <w:r w:rsidRPr="007C1B97">
        <w:rPr>
          <w:rFonts w:eastAsia="Helvetica"/>
          <w:sz w:val="22"/>
          <w:szCs w:val="22"/>
        </w:rPr>
        <w:t xml:space="preserve">“ </w:t>
      </w:r>
      <w:proofErr w:type="spellStart"/>
      <w:r w:rsidRPr="007C1B97">
        <w:rPr>
          <w:rFonts w:eastAsia="Helvetica-Oblique"/>
          <w:i/>
          <w:iCs/>
          <w:sz w:val="22"/>
          <w:szCs w:val="22"/>
        </w:rPr>
        <w:t>Codice</w:t>
      </w:r>
      <w:proofErr w:type="gramEnd"/>
      <w:r w:rsidRPr="007C1B97">
        <w:rPr>
          <w:rFonts w:eastAsia="Helvetica-Oblique"/>
          <w:i/>
          <w:iCs/>
          <w:sz w:val="22"/>
          <w:szCs w:val="22"/>
        </w:rPr>
        <w:t>”</w:t>
      </w:r>
      <w:r w:rsidRPr="007C1B97">
        <w:rPr>
          <w:rFonts w:eastAsia="Helvetica"/>
          <w:sz w:val="22"/>
          <w:szCs w:val="22"/>
        </w:rPr>
        <w:t>e</w:t>
      </w:r>
      <w:proofErr w:type="spellEnd"/>
      <w:r w:rsidRPr="007C1B97">
        <w:rPr>
          <w:rFonts w:eastAsia="Helvetica"/>
          <w:sz w:val="22"/>
          <w:szCs w:val="22"/>
        </w:rPr>
        <w:t xml:space="preserve"> dell’art.123 del “ </w:t>
      </w:r>
      <w:r w:rsidRPr="007C1B97">
        <w:rPr>
          <w:rFonts w:eastAsia="Helvetica-Oblique"/>
          <w:i/>
          <w:iCs/>
          <w:sz w:val="22"/>
          <w:szCs w:val="22"/>
        </w:rPr>
        <w:t>Regolamento</w:t>
      </w:r>
      <w:r w:rsidRPr="007C1B97">
        <w:rPr>
          <w:rFonts w:eastAsia="Helvetica"/>
          <w:sz w:val="22"/>
          <w:szCs w:val="22"/>
        </w:rPr>
        <w:t>”.</w:t>
      </w:r>
    </w:p>
    <w:p w:rsidR="005951DB" w:rsidRDefault="005951DB" w:rsidP="005951DB">
      <w:pPr>
        <w:autoSpaceDE w:val="0"/>
        <w:autoSpaceDN w:val="0"/>
        <w:adjustRightInd w:val="0"/>
        <w:jc w:val="both"/>
        <w:rPr>
          <w:rFonts w:eastAsia="Helvetica"/>
          <w:sz w:val="22"/>
          <w:szCs w:val="22"/>
        </w:rPr>
      </w:pPr>
      <w:r w:rsidRPr="007C1B97">
        <w:rPr>
          <w:rFonts w:eastAsia="Helvetica"/>
          <w:sz w:val="22"/>
          <w:szCs w:val="22"/>
        </w:rPr>
        <w:t xml:space="preserve">L’aggiudicatario deve prestare, altresì, la garanzia di cui all’art. 129 comma 1 del </w:t>
      </w:r>
      <w:proofErr w:type="gramStart"/>
      <w:r w:rsidRPr="007C1B97">
        <w:rPr>
          <w:rFonts w:eastAsia="Helvetica"/>
          <w:sz w:val="22"/>
          <w:szCs w:val="22"/>
        </w:rPr>
        <w:t>“ Codice</w:t>
      </w:r>
      <w:proofErr w:type="gramEnd"/>
      <w:r w:rsidRPr="007C1B97">
        <w:rPr>
          <w:rFonts w:eastAsia="Helvetica"/>
          <w:sz w:val="22"/>
          <w:szCs w:val="22"/>
        </w:rPr>
        <w:t>” e dell’art. 125 del “ Regolamento” con le modalità e per gli importi previsti dal Capitolato Speciale d’appalto.</w:t>
      </w:r>
    </w:p>
    <w:p w:rsidR="005951DB" w:rsidRDefault="005951DB" w:rsidP="005951DB">
      <w:pPr>
        <w:autoSpaceDE w:val="0"/>
        <w:autoSpaceDN w:val="0"/>
        <w:adjustRightInd w:val="0"/>
        <w:jc w:val="both"/>
        <w:rPr>
          <w:rFonts w:eastAsia="Helvetica"/>
          <w:sz w:val="22"/>
          <w:szCs w:val="22"/>
        </w:rPr>
      </w:pPr>
    </w:p>
    <w:p w:rsidR="005951DB" w:rsidRDefault="005951DB" w:rsidP="00CE5E89">
      <w:pPr>
        <w:autoSpaceDE w:val="0"/>
        <w:autoSpaceDN w:val="0"/>
        <w:adjustRightInd w:val="0"/>
        <w:jc w:val="both"/>
        <w:rPr>
          <w:rFonts w:ascii="Tahoma" w:hAnsi="Tahoma" w:cs="Tahoma"/>
          <w:color w:val="000000"/>
          <w:sz w:val="28"/>
          <w:szCs w:val="28"/>
        </w:rPr>
      </w:pPr>
      <w:r w:rsidRPr="005951DB">
        <w:rPr>
          <w:rFonts w:ascii="Tahoma" w:hAnsi="Tahoma" w:cs="Tahoma"/>
          <w:color w:val="000000"/>
          <w:sz w:val="28"/>
          <w:szCs w:val="28"/>
        </w:rPr>
        <w:t>RESTA FERMO TUTTO IL RESTO.</w:t>
      </w:r>
    </w:p>
    <w:p w:rsidR="005951DB" w:rsidRDefault="005951DB" w:rsidP="00CE5E89">
      <w:pPr>
        <w:autoSpaceDE w:val="0"/>
        <w:autoSpaceDN w:val="0"/>
        <w:adjustRightInd w:val="0"/>
        <w:jc w:val="both"/>
        <w:rPr>
          <w:rFonts w:ascii="Tahoma" w:hAnsi="Tahoma" w:cs="Tahoma"/>
          <w:color w:val="000000"/>
          <w:sz w:val="28"/>
          <w:szCs w:val="28"/>
        </w:rPr>
      </w:pPr>
    </w:p>
    <w:p w:rsidR="005951DB" w:rsidRDefault="00142BBD" w:rsidP="00CE5E89">
      <w:pPr>
        <w:autoSpaceDE w:val="0"/>
        <w:autoSpaceDN w:val="0"/>
        <w:adjustRightInd w:val="0"/>
        <w:jc w:val="both"/>
        <w:rPr>
          <w:rFonts w:ascii="Tahoma" w:hAnsi="Tahoma" w:cs="Tahoma"/>
          <w:color w:val="000000"/>
          <w:sz w:val="28"/>
          <w:szCs w:val="28"/>
        </w:rPr>
      </w:pPr>
      <w:proofErr w:type="spellStart"/>
      <w:r>
        <w:rPr>
          <w:rFonts w:ascii="Tahoma" w:hAnsi="Tahoma" w:cs="Tahoma"/>
          <w:color w:val="000000"/>
          <w:sz w:val="28"/>
          <w:szCs w:val="28"/>
        </w:rPr>
        <w:t>Prot</w:t>
      </w:r>
      <w:proofErr w:type="spellEnd"/>
      <w:r>
        <w:rPr>
          <w:rFonts w:ascii="Tahoma" w:hAnsi="Tahoma" w:cs="Tahoma"/>
          <w:color w:val="000000"/>
          <w:sz w:val="28"/>
          <w:szCs w:val="28"/>
        </w:rPr>
        <w:t xml:space="preserve">. N. </w:t>
      </w:r>
      <w:r w:rsidR="002F7B04">
        <w:rPr>
          <w:rFonts w:ascii="Tahoma" w:hAnsi="Tahoma" w:cs="Tahoma"/>
          <w:color w:val="000000"/>
          <w:sz w:val="28"/>
          <w:szCs w:val="28"/>
        </w:rPr>
        <w:t>3664/C23</w:t>
      </w:r>
      <w:bookmarkStart w:id="0" w:name="_GoBack"/>
      <w:bookmarkEnd w:id="0"/>
    </w:p>
    <w:p w:rsidR="005951DB" w:rsidRDefault="005951DB" w:rsidP="00CE5E89">
      <w:pPr>
        <w:autoSpaceDE w:val="0"/>
        <w:autoSpaceDN w:val="0"/>
        <w:adjustRightInd w:val="0"/>
        <w:jc w:val="both"/>
        <w:rPr>
          <w:rFonts w:ascii="Tahoma" w:hAnsi="Tahoma" w:cs="Tahoma"/>
          <w:color w:val="000000"/>
          <w:sz w:val="28"/>
          <w:szCs w:val="28"/>
        </w:rPr>
      </w:pPr>
      <w:r>
        <w:rPr>
          <w:rFonts w:ascii="Tahoma" w:hAnsi="Tahoma" w:cs="Tahoma"/>
          <w:color w:val="000000"/>
          <w:sz w:val="28"/>
          <w:szCs w:val="28"/>
        </w:rPr>
        <w:t>Scicli, 16/09/2015.</w:t>
      </w:r>
    </w:p>
    <w:p w:rsidR="005951DB" w:rsidRDefault="005951DB" w:rsidP="00CE5E89">
      <w:pPr>
        <w:autoSpaceDE w:val="0"/>
        <w:autoSpaceDN w:val="0"/>
        <w:adjustRightInd w:val="0"/>
        <w:jc w:val="both"/>
        <w:rPr>
          <w:rFonts w:ascii="Tahoma" w:hAnsi="Tahoma" w:cs="Tahoma"/>
          <w:color w:val="000000"/>
          <w:sz w:val="28"/>
          <w:szCs w:val="28"/>
        </w:rPr>
      </w:pPr>
      <w:r>
        <w:rPr>
          <w:rFonts w:ascii="Tahoma" w:hAnsi="Tahoma" w:cs="Tahoma"/>
          <w:color w:val="000000"/>
          <w:sz w:val="28"/>
          <w:szCs w:val="28"/>
        </w:rPr>
        <w:t xml:space="preserve">                                                    IL RESPONSABILE DEL PROCEDIMENTO</w:t>
      </w:r>
    </w:p>
    <w:p w:rsidR="00142BBD" w:rsidRDefault="00142BBD" w:rsidP="00CE5E89">
      <w:pPr>
        <w:autoSpaceDE w:val="0"/>
        <w:autoSpaceDN w:val="0"/>
        <w:adjustRightInd w:val="0"/>
        <w:jc w:val="both"/>
        <w:rPr>
          <w:rFonts w:ascii="Tahoma" w:hAnsi="Tahoma" w:cs="Tahoma"/>
          <w:color w:val="000000"/>
          <w:sz w:val="28"/>
          <w:szCs w:val="28"/>
        </w:rPr>
      </w:pPr>
      <w:r>
        <w:rPr>
          <w:rFonts w:ascii="Tahoma" w:hAnsi="Tahoma" w:cs="Tahoma"/>
          <w:color w:val="000000"/>
          <w:sz w:val="28"/>
          <w:szCs w:val="28"/>
        </w:rPr>
        <w:t xml:space="preserve">                                                               Dirigente Scolastico</w:t>
      </w:r>
    </w:p>
    <w:p w:rsidR="00142BBD" w:rsidRPr="005951DB" w:rsidRDefault="00142BBD" w:rsidP="00CE5E89">
      <w:pPr>
        <w:autoSpaceDE w:val="0"/>
        <w:autoSpaceDN w:val="0"/>
        <w:adjustRightInd w:val="0"/>
        <w:jc w:val="both"/>
        <w:rPr>
          <w:rFonts w:ascii="Tahoma" w:hAnsi="Tahoma" w:cs="Tahoma"/>
          <w:color w:val="000000"/>
          <w:sz w:val="28"/>
          <w:szCs w:val="28"/>
        </w:rPr>
      </w:pPr>
      <w:r>
        <w:rPr>
          <w:rFonts w:ascii="Tahoma" w:hAnsi="Tahoma" w:cs="Tahoma"/>
          <w:color w:val="000000"/>
          <w:sz w:val="28"/>
          <w:szCs w:val="28"/>
        </w:rPr>
        <w:t xml:space="preserve">                                                           Maria Gabriella La Marca</w:t>
      </w:r>
    </w:p>
    <w:sectPr w:rsidR="00142BBD" w:rsidRPr="00595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2">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Bold">
    <w:altName w:val="Arial"/>
    <w:charset w:val="00"/>
    <w:family w:val="swiss"/>
    <w:pitch w:val="default"/>
  </w:font>
  <w:font w:name="Helvetica-Oblique">
    <w:charset w:val="00"/>
    <w:family w:val="swiss"/>
    <w:pitch w:val="default"/>
  </w:font>
  <w:font w:name="Helvetica-BoldOblique">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89"/>
    <w:rsid w:val="00142BBD"/>
    <w:rsid w:val="002F7B04"/>
    <w:rsid w:val="005951DB"/>
    <w:rsid w:val="00792225"/>
    <w:rsid w:val="00A741B9"/>
    <w:rsid w:val="00AC341C"/>
    <w:rsid w:val="00CE5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1C4BD-EBDD-4264-951E-631FDE7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E89"/>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CE5E89"/>
    <w:pPr>
      <w:spacing w:before="100" w:after="100"/>
    </w:pPr>
    <w:rPr>
      <w:sz w:val="24"/>
      <w:szCs w:val="24"/>
    </w:rPr>
  </w:style>
  <w:style w:type="character" w:styleId="Collegamentoipertestuale">
    <w:name w:val="Hyperlink"/>
    <w:basedOn w:val="Carpredefinitoparagrafo"/>
    <w:uiPriority w:val="99"/>
    <w:unhideWhenUsed/>
    <w:rsid w:val="00CE5E89"/>
    <w:rPr>
      <w:color w:val="0563C1" w:themeColor="hyperlink"/>
      <w:u w:val="single"/>
    </w:rPr>
  </w:style>
  <w:style w:type="paragraph" w:styleId="Testofumetto">
    <w:name w:val="Balloon Text"/>
    <w:basedOn w:val="Normale"/>
    <w:link w:val="TestofumettoCarattere"/>
    <w:uiPriority w:val="99"/>
    <w:semiHidden/>
    <w:unhideWhenUsed/>
    <w:rsid w:val="002F7B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7B0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une.scicli.r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giovannidantoni.it" TargetMode="External"/><Relationship Id="rId5" Type="http://schemas.openxmlformats.org/officeDocument/2006/relationships/hyperlink" Target="mailto:rgic82600r@pec.istruzione.it"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1643</Words>
  <Characters>9370</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delibera</dc:creator>
  <cp:keywords/>
  <dc:description/>
  <cp:lastModifiedBy>delibera</cp:lastModifiedBy>
  <cp:revision>2</cp:revision>
  <cp:lastPrinted>2015-09-16T09:44:00Z</cp:lastPrinted>
  <dcterms:created xsi:type="dcterms:W3CDTF">2015-09-16T08:39:00Z</dcterms:created>
  <dcterms:modified xsi:type="dcterms:W3CDTF">2015-09-16T09:55:00Z</dcterms:modified>
</cp:coreProperties>
</file>